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7FA3F" w14:textId="77777777" w:rsidR="00B03369" w:rsidRDefault="00B143EF" w:rsidP="00B143EF">
      <w:pPr>
        <w:pStyle w:val="Title"/>
      </w:pPr>
      <w:bookmarkStart w:id="0" w:name="_GoBack"/>
      <w:bookmarkEnd w:id="0"/>
      <w:r>
        <w:t>Investigation of the Week</w:t>
      </w:r>
    </w:p>
    <w:p w14:paraId="19D8086C" w14:textId="77777777" w:rsidR="00B143EF" w:rsidRDefault="00B143EF" w:rsidP="00B143EF">
      <w:pPr>
        <w:rPr>
          <w:rFonts w:asciiTheme="majorHAnsi" w:hAnsiTheme="majorHAnsi"/>
        </w:rPr>
      </w:pPr>
      <w:r>
        <w:rPr>
          <w:rFonts w:asciiTheme="majorHAnsi" w:hAnsiTheme="majorHAnsi"/>
        </w:rPr>
        <w:t>ECG: 5/9/17</w:t>
      </w:r>
    </w:p>
    <w:p w14:paraId="0FC7E04B" w14:textId="77777777" w:rsidR="00B143EF" w:rsidRDefault="00B143EF" w:rsidP="00B143EF">
      <w:pPr>
        <w:rPr>
          <w:rFonts w:asciiTheme="majorHAnsi" w:hAnsiTheme="majorHAnsi"/>
        </w:rPr>
      </w:pPr>
      <w:r>
        <w:rPr>
          <w:rFonts w:asciiTheme="majorHAnsi" w:hAnsiTheme="majorHAnsi"/>
        </w:rPr>
        <w:t>85M presents with palpitations and mild dyspnoea</w:t>
      </w:r>
    </w:p>
    <w:p w14:paraId="01F4548C" w14:textId="77777777" w:rsidR="00B143EF" w:rsidRDefault="00B143EF" w:rsidP="00B143EF">
      <w:pPr>
        <w:rPr>
          <w:rFonts w:asciiTheme="majorHAnsi" w:hAnsiTheme="majorHAnsi"/>
        </w:rPr>
      </w:pPr>
      <w:r>
        <w:rPr>
          <w:rFonts w:asciiTheme="majorHAnsi" w:hAnsiTheme="majorHAnsi"/>
        </w:rPr>
        <w:t>Triage: Category 2</w:t>
      </w:r>
    </w:p>
    <w:p w14:paraId="155C3449" w14:textId="77777777" w:rsidR="00B143EF" w:rsidRDefault="00B143EF" w:rsidP="00B143EF">
      <w:pPr>
        <w:rPr>
          <w:rFonts w:asciiTheme="majorHAnsi" w:hAnsiTheme="majorHAnsi"/>
        </w:rPr>
      </w:pPr>
      <w:r>
        <w:rPr>
          <w:rFonts w:asciiTheme="majorHAnsi" w:hAnsiTheme="majorHAnsi"/>
        </w:rPr>
        <w:t>ECG performed on arrival</w:t>
      </w:r>
    </w:p>
    <w:p w14:paraId="0D4E9B8F" w14:textId="77777777" w:rsidR="00D74A52" w:rsidRDefault="00D74A52" w:rsidP="00B143EF">
      <w:pPr>
        <w:rPr>
          <w:rFonts w:asciiTheme="majorHAnsi" w:hAnsiTheme="majorHAnsi"/>
        </w:rPr>
      </w:pPr>
      <w:r>
        <w:rPr>
          <w:rFonts w:asciiTheme="majorHAnsi" w:hAnsiTheme="majorHAnsi"/>
        </w:rPr>
        <w:t>RR 18, SpO2 98% RA, BP 150/90, Temp 36.4, GCS 15</w:t>
      </w:r>
    </w:p>
    <w:p w14:paraId="1BB2688F" w14:textId="77777777" w:rsidR="00B143EF" w:rsidRDefault="00B143EF" w:rsidP="00B143EF">
      <w:pPr>
        <w:rPr>
          <w:rFonts w:asciiTheme="majorHAnsi" w:hAnsiTheme="majorHAnsi"/>
        </w:rPr>
      </w:pPr>
    </w:p>
    <w:p w14:paraId="266204DA" w14:textId="77777777" w:rsidR="00B143EF" w:rsidRDefault="00B143EF" w:rsidP="00B143EF">
      <w:pPr>
        <w:rPr>
          <w:rFonts w:asciiTheme="majorHAnsi" w:hAnsiTheme="majorHAnsi"/>
        </w:rPr>
      </w:pPr>
      <w:r w:rsidRPr="00B143EF">
        <w:rPr>
          <w:rFonts w:asciiTheme="majorHAnsi" w:hAnsiTheme="majorHAnsi"/>
          <w:noProof/>
          <w:lang w:val="en-AU" w:eastAsia="en-AU"/>
        </w:rPr>
        <w:drawing>
          <wp:inline distT="0" distB="0" distL="0" distR="0" wp14:anchorId="10C23391" wp14:editId="05410C75">
            <wp:extent cx="6059170" cy="4241800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14" cy="42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0DCF0" w14:textId="77777777" w:rsidR="00B143EF" w:rsidRDefault="00B143EF" w:rsidP="00B143EF">
      <w:pPr>
        <w:rPr>
          <w:rFonts w:asciiTheme="majorHAnsi" w:hAnsiTheme="majorHAnsi"/>
        </w:rPr>
      </w:pPr>
    </w:p>
    <w:p w14:paraId="3408B071" w14:textId="77777777" w:rsidR="00B143EF" w:rsidRDefault="00B143EF" w:rsidP="00B143EF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 xml:space="preserve">Describe the ECG </w:t>
      </w:r>
    </w:p>
    <w:p w14:paraId="4C659CF1" w14:textId="77777777" w:rsidR="00B143EF" w:rsidRDefault="00B143EF" w:rsidP="00B143EF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is your provisional diagnosis?</w:t>
      </w:r>
    </w:p>
    <w:p w14:paraId="7142A4BC" w14:textId="77777777" w:rsidR="00B143EF" w:rsidRDefault="00B143EF" w:rsidP="00B143EF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What are your differentials?</w:t>
      </w:r>
    </w:p>
    <w:p w14:paraId="24B6C2AD" w14:textId="77777777" w:rsidR="00B143EF" w:rsidRPr="00B143EF" w:rsidRDefault="00B143EF" w:rsidP="00B143EF">
      <w:pPr>
        <w:pStyle w:val="ListParagraph"/>
        <w:numPr>
          <w:ilvl w:val="0"/>
          <w:numId w:val="1"/>
        </w:numPr>
        <w:rPr>
          <w:rFonts w:asciiTheme="majorHAnsi" w:hAnsiTheme="majorHAnsi"/>
        </w:rPr>
      </w:pPr>
      <w:r>
        <w:rPr>
          <w:rFonts w:asciiTheme="majorHAnsi" w:hAnsiTheme="majorHAnsi"/>
        </w:rPr>
        <w:t>Discuss you management approach.</w:t>
      </w:r>
    </w:p>
    <w:p w14:paraId="12571C6D" w14:textId="77777777" w:rsidR="00B143EF" w:rsidRDefault="00B143EF" w:rsidP="00B143EF">
      <w:pPr>
        <w:rPr>
          <w:rFonts w:asciiTheme="majorHAnsi" w:hAnsiTheme="majorHAnsi"/>
        </w:rPr>
      </w:pPr>
    </w:p>
    <w:p w14:paraId="32EA3034" w14:textId="77777777" w:rsidR="00B143EF" w:rsidRPr="00B143EF" w:rsidRDefault="00B143EF" w:rsidP="00B143EF">
      <w:pPr>
        <w:rPr>
          <w:rFonts w:asciiTheme="majorHAnsi" w:hAnsiTheme="majorHAnsi"/>
        </w:rPr>
      </w:pPr>
    </w:p>
    <w:p w14:paraId="5D4813FB" w14:textId="77777777" w:rsidR="00B143EF" w:rsidRDefault="00B143EF" w:rsidP="00B143EF">
      <w:pPr>
        <w:ind w:left="720"/>
        <w:rPr>
          <w:rStyle w:val="SubtleEmphasis"/>
        </w:rPr>
      </w:pPr>
      <w:r w:rsidRPr="00B143EF">
        <w:rPr>
          <w:rStyle w:val="SubtleEmphasis"/>
        </w:rPr>
        <w:t>(suggested template: Rate/Rhythm/axis/intervals/Pwaves/QRS/Twaves/QT/extras)</w:t>
      </w:r>
    </w:p>
    <w:p w14:paraId="31335CE6" w14:textId="77777777" w:rsidR="00B143EF" w:rsidRDefault="00B143EF" w:rsidP="00B143EF">
      <w:pPr>
        <w:rPr>
          <w:rStyle w:val="SubtleEmphasis"/>
        </w:rPr>
      </w:pPr>
    </w:p>
    <w:p w14:paraId="1A7FBFCB" w14:textId="77777777" w:rsidR="00B44AA9" w:rsidRDefault="00B44AA9" w:rsidP="00B44AA9">
      <w:pPr>
        <w:pStyle w:val="Heading1"/>
        <w:rPr>
          <w:rStyle w:val="SubtleEmphasis"/>
          <w:i w:val="0"/>
        </w:rPr>
      </w:pPr>
      <w:r>
        <w:rPr>
          <w:rStyle w:val="SubtleEmphasis"/>
          <w:i w:val="0"/>
        </w:rPr>
        <w:br w:type="page"/>
      </w:r>
    </w:p>
    <w:p w14:paraId="31ED993A" w14:textId="77777777" w:rsidR="00B44AA9" w:rsidRPr="00B44AA9" w:rsidRDefault="00B44AA9" w:rsidP="00B44AA9">
      <w:pPr>
        <w:pStyle w:val="IntenseQuote"/>
        <w:ind w:left="0"/>
        <w:rPr>
          <w:rStyle w:val="SubtleEmphasis"/>
          <w:color w:val="auto"/>
        </w:rPr>
      </w:pPr>
      <w:r>
        <w:rPr>
          <w:rStyle w:val="SubtleEmphasis"/>
          <w:color w:val="auto"/>
        </w:rPr>
        <w:lastRenderedPageBreak/>
        <w:t>BONUS ECG</w:t>
      </w:r>
      <w:r w:rsidR="00002C04" w:rsidRPr="00002C04">
        <w:rPr>
          <w:rStyle w:val="SubtleEmphasis"/>
          <w:noProof/>
          <w:color w:val="auto"/>
          <w:lang w:val="en-AU" w:eastAsia="en-AU"/>
        </w:rPr>
        <w:drawing>
          <wp:inline distT="0" distB="0" distL="0" distR="0" wp14:anchorId="2B87A29F" wp14:editId="0D76777F">
            <wp:extent cx="5729605" cy="4105275"/>
            <wp:effectExtent l="0" t="0" r="1079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2C04" w:rsidRPr="00002C04">
        <w:rPr>
          <w:rStyle w:val="SubtleEmphasis"/>
          <w:noProof/>
          <w:color w:val="auto"/>
          <w:lang w:val="en-AU" w:eastAsia="en-AU"/>
        </w:rPr>
        <w:lastRenderedPageBreak/>
        <w:drawing>
          <wp:inline distT="0" distB="0" distL="0" distR="0" wp14:anchorId="14D2EC6D" wp14:editId="7AC4C84B">
            <wp:extent cx="5729605" cy="4123055"/>
            <wp:effectExtent l="0" t="0" r="1079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41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C0EAE" w14:textId="77777777" w:rsidR="007F4F3F" w:rsidRDefault="00002C04" w:rsidP="00002C04">
      <w:pPr>
        <w:rPr>
          <w:rStyle w:val="SubtleEmphasis"/>
          <w:rFonts w:asciiTheme="majorHAnsi" w:hAnsiTheme="majorHAnsi"/>
          <w:i w:val="0"/>
          <w:color w:val="auto"/>
        </w:rPr>
      </w:pPr>
      <w:r>
        <w:rPr>
          <w:rStyle w:val="SubtleEmphasis"/>
          <w:rFonts w:asciiTheme="majorHAnsi" w:hAnsiTheme="majorHAnsi"/>
          <w:i w:val="0"/>
          <w:color w:val="auto"/>
        </w:rPr>
        <w:t xml:space="preserve">35M retrosternal </w:t>
      </w:r>
      <w:r w:rsidR="007F4F3F">
        <w:rPr>
          <w:rStyle w:val="SubtleEmphasis"/>
          <w:rFonts w:asciiTheme="majorHAnsi" w:hAnsiTheme="majorHAnsi"/>
          <w:i w:val="0"/>
          <w:color w:val="auto"/>
        </w:rPr>
        <w:t>wakes up at 5am with retrosternal squeezing chest pain for 1 hour</w:t>
      </w:r>
      <w:r>
        <w:rPr>
          <w:rStyle w:val="SubtleEmphasis"/>
          <w:rFonts w:asciiTheme="majorHAnsi" w:hAnsiTheme="majorHAnsi"/>
          <w:i w:val="0"/>
          <w:color w:val="auto"/>
        </w:rPr>
        <w:t xml:space="preserve">. </w:t>
      </w:r>
      <w:r w:rsidR="007F4F3F">
        <w:rPr>
          <w:rStyle w:val="SubtleEmphasis"/>
          <w:rFonts w:asciiTheme="majorHAnsi" w:hAnsiTheme="majorHAnsi"/>
          <w:i w:val="0"/>
          <w:color w:val="auto"/>
        </w:rPr>
        <w:t>He has no past medical history.  Serial troponins are 12 and 11.</w:t>
      </w:r>
    </w:p>
    <w:p w14:paraId="666BDD0F" w14:textId="77777777" w:rsidR="007F4F3F" w:rsidRDefault="007F4F3F" w:rsidP="00002C04">
      <w:pPr>
        <w:rPr>
          <w:rStyle w:val="SubtleEmphasis"/>
          <w:rFonts w:asciiTheme="majorHAnsi" w:hAnsiTheme="majorHAnsi"/>
          <w:i w:val="0"/>
          <w:color w:val="auto"/>
        </w:rPr>
      </w:pPr>
    </w:p>
    <w:p w14:paraId="530C7CF7" w14:textId="77777777" w:rsidR="00B44AA9" w:rsidRPr="007F4F3F" w:rsidRDefault="00002C04" w:rsidP="007F4F3F">
      <w:pPr>
        <w:pStyle w:val="ListParagraph"/>
        <w:numPr>
          <w:ilvl w:val="0"/>
          <w:numId w:val="4"/>
        </w:numPr>
        <w:rPr>
          <w:rStyle w:val="SubtleEmphasis"/>
          <w:rFonts w:asciiTheme="majorHAnsi" w:hAnsiTheme="majorHAnsi"/>
          <w:i w:val="0"/>
          <w:color w:val="auto"/>
        </w:rPr>
      </w:pPr>
      <w:r w:rsidRPr="007F4F3F">
        <w:rPr>
          <w:rStyle w:val="SubtleEmphasis"/>
          <w:rFonts w:asciiTheme="majorHAnsi" w:hAnsiTheme="majorHAnsi"/>
          <w:i w:val="0"/>
          <w:color w:val="auto"/>
        </w:rPr>
        <w:t>Describe any significant</w:t>
      </w:r>
      <w:r w:rsidR="007F4F3F" w:rsidRPr="007F4F3F">
        <w:rPr>
          <w:rStyle w:val="SubtleEmphasis"/>
          <w:rFonts w:asciiTheme="majorHAnsi" w:hAnsiTheme="majorHAnsi"/>
          <w:i w:val="0"/>
          <w:color w:val="auto"/>
        </w:rPr>
        <w:t xml:space="preserve"> ECG</w:t>
      </w:r>
      <w:r w:rsidRPr="007F4F3F">
        <w:rPr>
          <w:rStyle w:val="SubtleEmphasis"/>
          <w:rFonts w:asciiTheme="majorHAnsi" w:hAnsiTheme="majorHAnsi"/>
          <w:i w:val="0"/>
          <w:color w:val="auto"/>
        </w:rPr>
        <w:t xml:space="preserve"> features.</w:t>
      </w:r>
    </w:p>
    <w:p w14:paraId="2122EB85" w14:textId="77777777" w:rsidR="00002C04" w:rsidRDefault="00002C04" w:rsidP="00002C04">
      <w:pPr>
        <w:rPr>
          <w:rStyle w:val="SubtleEmphasis"/>
          <w:rFonts w:asciiTheme="majorHAnsi" w:hAnsiTheme="majorHAnsi"/>
          <w:i w:val="0"/>
          <w:color w:val="auto"/>
        </w:rPr>
      </w:pPr>
    </w:p>
    <w:p w14:paraId="53B21459" w14:textId="77777777" w:rsidR="00002C04" w:rsidRPr="007F4F3F" w:rsidRDefault="00002C04" w:rsidP="007F4F3F">
      <w:pPr>
        <w:pStyle w:val="ListParagraph"/>
        <w:numPr>
          <w:ilvl w:val="0"/>
          <w:numId w:val="4"/>
        </w:numPr>
        <w:rPr>
          <w:rStyle w:val="SubtleEmphasis"/>
          <w:rFonts w:asciiTheme="majorHAnsi" w:hAnsiTheme="majorHAnsi"/>
          <w:i w:val="0"/>
          <w:color w:val="auto"/>
        </w:rPr>
      </w:pPr>
      <w:r w:rsidRPr="007F4F3F">
        <w:rPr>
          <w:rStyle w:val="SubtleEmphasis"/>
          <w:rFonts w:asciiTheme="majorHAnsi" w:hAnsiTheme="majorHAnsi"/>
          <w:i w:val="0"/>
          <w:color w:val="auto"/>
        </w:rPr>
        <w:t>What is the HEART score?</w:t>
      </w:r>
    </w:p>
    <w:p w14:paraId="71C37BA9" w14:textId="77777777" w:rsidR="00002C04" w:rsidRDefault="00002C04" w:rsidP="00002C04">
      <w:pPr>
        <w:rPr>
          <w:rStyle w:val="SubtleEmphasis"/>
          <w:rFonts w:asciiTheme="majorHAnsi" w:hAnsiTheme="majorHAnsi"/>
          <w:i w:val="0"/>
          <w:color w:val="auto"/>
        </w:rPr>
      </w:pPr>
    </w:p>
    <w:p w14:paraId="736C00B9" w14:textId="77777777" w:rsidR="00002C04" w:rsidRPr="007F4F3F" w:rsidRDefault="00002C04" w:rsidP="007F4F3F">
      <w:pPr>
        <w:pStyle w:val="ListParagraph"/>
        <w:numPr>
          <w:ilvl w:val="0"/>
          <w:numId w:val="4"/>
        </w:numPr>
        <w:rPr>
          <w:rStyle w:val="SubtleEmphasis"/>
          <w:rFonts w:asciiTheme="majorHAnsi" w:hAnsiTheme="majorHAnsi"/>
          <w:i w:val="0"/>
          <w:color w:val="auto"/>
        </w:rPr>
      </w:pPr>
      <w:r w:rsidRPr="007F4F3F">
        <w:rPr>
          <w:rStyle w:val="SubtleEmphasis"/>
          <w:rFonts w:asciiTheme="majorHAnsi" w:hAnsiTheme="majorHAnsi"/>
          <w:i w:val="0"/>
          <w:color w:val="auto"/>
        </w:rPr>
        <w:t>What would this patient score?</w:t>
      </w:r>
    </w:p>
    <w:p w14:paraId="11649CA4" w14:textId="77777777" w:rsidR="00002C04" w:rsidRDefault="00002C04" w:rsidP="00002C04">
      <w:pPr>
        <w:rPr>
          <w:rStyle w:val="SubtleEmphasis"/>
          <w:rFonts w:asciiTheme="majorHAnsi" w:hAnsiTheme="majorHAnsi"/>
          <w:i w:val="0"/>
          <w:color w:val="auto"/>
        </w:rPr>
      </w:pPr>
    </w:p>
    <w:p w14:paraId="5BD9F48D" w14:textId="77777777" w:rsidR="00002C04" w:rsidRPr="007F4F3F" w:rsidRDefault="00002C04" w:rsidP="007F4F3F">
      <w:pPr>
        <w:pStyle w:val="ListParagraph"/>
        <w:numPr>
          <w:ilvl w:val="0"/>
          <w:numId w:val="4"/>
        </w:numPr>
        <w:rPr>
          <w:rStyle w:val="SubtleEmphasis"/>
          <w:rFonts w:asciiTheme="majorHAnsi" w:hAnsiTheme="majorHAnsi"/>
          <w:i w:val="0"/>
          <w:color w:val="auto"/>
        </w:rPr>
      </w:pPr>
      <w:r w:rsidRPr="007F4F3F">
        <w:rPr>
          <w:rStyle w:val="SubtleEmphasis"/>
          <w:rFonts w:asciiTheme="majorHAnsi" w:hAnsiTheme="majorHAnsi"/>
          <w:i w:val="0"/>
          <w:color w:val="auto"/>
        </w:rPr>
        <w:t>What is your next action based on your risk assessment?</w:t>
      </w:r>
    </w:p>
    <w:p w14:paraId="5387AF2C" w14:textId="77777777" w:rsidR="00002C04" w:rsidRPr="007F4F3F" w:rsidRDefault="00002C04" w:rsidP="007F4F3F">
      <w:pPr>
        <w:pStyle w:val="ListParagraph"/>
        <w:numPr>
          <w:ilvl w:val="0"/>
          <w:numId w:val="4"/>
        </w:numPr>
        <w:rPr>
          <w:rStyle w:val="SubtleEmphasis"/>
          <w:rFonts w:asciiTheme="majorHAnsi" w:eastAsiaTheme="majorEastAsia" w:hAnsiTheme="majorHAnsi" w:cstheme="majorBidi"/>
          <w:b/>
          <w:bCs/>
          <w:i w:val="0"/>
          <w:sz w:val="26"/>
          <w:szCs w:val="26"/>
        </w:rPr>
      </w:pPr>
      <w:r w:rsidRPr="007F4F3F">
        <w:rPr>
          <w:rStyle w:val="SubtleEmphasis"/>
          <w:i w:val="0"/>
        </w:rPr>
        <w:br w:type="page"/>
      </w:r>
    </w:p>
    <w:p w14:paraId="1757FEAF" w14:textId="77777777" w:rsidR="00B143EF" w:rsidRDefault="00B143EF" w:rsidP="00B44AA9">
      <w:pPr>
        <w:pStyle w:val="Heading2"/>
        <w:rPr>
          <w:rStyle w:val="SubtleEmphasis"/>
          <w:i w:val="0"/>
        </w:rPr>
      </w:pPr>
    </w:p>
    <w:p w14:paraId="25D22EEE" w14:textId="77777777" w:rsidR="00002C04" w:rsidRDefault="00002C04" w:rsidP="00002C04"/>
    <w:p w14:paraId="0B5F3283" w14:textId="77777777" w:rsidR="00002C04" w:rsidRPr="00002C04" w:rsidRDefault="00002C04" w:rsidP="00002C04"/>
    <w:p w14:paraId="5E217B18" w14:textId="77777777" w:rsidR="00B143EF" w:rsidRDefault="00B143EF" w:rsidP="00B143EF">
      <w:pPr>
        <w:pStyle w:val="ListParagraph"/>
        <w:numPr>
          <w:ilvl w:val="0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Sinus rhythm, HR 134, axis -91 (N to Northwest: ?bizarre), absent P waves (best checked in AVR/V1), QRS 167 (long), QT 9x40= 360ms,</w:t>
      </w:r>
    </w:p>
    <w:p w14:paraId="457C27B4" w14:textId="77777777" w:rsidR="00B143EF" w:rsidRDefault="00B143EF" w:rsidP="00B143EF">
      <w:pPr>
        <w:pStyle w:val="ListParagraph"/>
        <w:rPr>
          <w:rStyle w:val="SubtleEmphasis"/>
          <w:i w:val="0"/>
        </w:rPr>
      </w:pPr>
      <w:r>
        <w:rPr>
          <w:rStyle w:val="SubtleEmphasis"/>
          <w:i w:val="0"/>
        </w:rPr>
        <w:t>Other features</w:t>
      </w:r>
    </w:p>
    <w:p w14:paraId="470BF204" w14:textId="77777777" w:rsidR="00B143EF" w:rsidRDefault="00B143EF" w:rsidP="00B143EF">
      <w:pPr>
        <w:pStyle w:val="ListParagraph"/>
        <w:rPr>
          <w:rStyle w:val="SubtleEmphasis"/>
          <w:i w:val="0"/>
        </w:rPr>
      </w:pPr>
      <w:r>
        <w:rPr>
          <w:rStyle w:val="SubtleEmphasis"/>
          <w:i w:val="0"/>
        </w:rPr>
        <w:tab/>
        <w:t>Right rabbit ear taller than the left</w:t>
      </w:r>
    </w:p>
    <w:p w14:paraId="30506430" w14:textId="77777777" w:rsidR="00B143EF" w:rsidRDefault="00B143EF" w:rsidP="00B143EF">
      <w:pPr>
        <w:pStyle w:val="ListParagraph"/>
        <w:rPr>
          <w:rStyle w:val="SubtleEmphasis"/>
          <w:i w:val="0"/>
        </w:rPr>
      </w:pPr>
      <w:r>
        <w:rPr>
          <w:rStyle w:val="SubtleEmphasis"/>
          <w:i w:val="0"/>
        </w:rPr>
        <w:tab/>
        <w:t>Discordance across the chest leads</w:t>
      </w:r>
    </w:p>
    <w:p w14:paraId="17204C06" w14:textId="77777777" w:rsidR="00B143EF" w:rsidRDefault="00B143EF" w:rsidP="00B143EF">
      <w:pPr>
        <w:pStyle w:val="ListParagraph"/>
        <w:rPr>
          <w:rStyle w:val="SubtleEmphasis"/>
          <w:i w:val="0"/>
        </w:rPr>
      </w:pPr>
      <w:r>
        <w:rPr>
          <w:rStyle w:val="SubtleEmphasis"/>
          <w:i w:val="0"/>
        </w:rPr>
        <w:tab/>
        <w:t>Absent capture or fusion beats</w:t>
      </w:r>
    </w:p>
    <w:p w14:paraId="4D1139B3" w14:textId="77777777" w:rsidR="00052781" w:rsidRDefault="00052781" w:rsidP="00B143EF">
      <w:pPr>
        <w:pStyle w:val="ListParagraph"/>
        <w:rPr>
          <w:rStyle w:val="SubtleEmphasis"/>
          <w:i w:val="0"/>
        </w:rPr>
      </w:pPr>
      <w:r>
        <w:rPr>
          <w:rStyle w:val="SubtleEmphasis"/>
          <w:i w:val="0"/>
        </w:rPr>
        <w:tab/>
        <w:t>Absent brugada’s sign (brugada +ve if the bottom of S is &gt;100ms from the start of the QRS)</w:t>
      </w:r>
    </w:p>
    <w:p w14:paraId="28DF78B9" w14:textId="77777777" w:rsidR="00B143EF" w:rsidRDefault="00B143EF" w:rsidP="00B143EF">
      <w:pPr>
        <w:pStyle w:val="ListParagraph"/>
        <w:rPr>
          <w:rStyle w:val="SubtleEmphasis"/>
          <w:i w:val="0"/>
        </w:rPr>
      </w:pPr>
    </w:p>
    <w:p w14:paraId="2DC7900A" w14:textId="326BB0C0" w:rsidR="006D1260" w:rsidRDefault="006D1260" w:rsidP="00B143EF">
      <w:pPr>
        <w:pStyle w:val="ListParagraph"/>
        <w:rPr>
          <w:rStyle w:val="SubtleEmphasis"/>
          <w:i w:val="0"/>
        </w:rPr>
      </w:pPr>
      <w:r>
        <w:rPr>
          <w:rStyle w:val="SubtleEmphasis"/>
          <w:i w:val="0"/>
        </w:rPr>
        <w:t>ECG features to support VT:</w:t>
      </w:r>
    </w:p>
    <w:p w14:paraId="663A3CE3" w14:textId="77CFD723" w:rsidR="006D1260" w:rsidRPr="006D1260" w:rsidRDefault="006D1260" w:rsidP="006D1260">
      <w:pPr>
        <w:ind w:left="1440"/>
        <w:rPr>
          <w:rFonts w:ascii="Times" w:eastAsia="Times New Roman" w:hAnsi="Times" w:cs="Times New Roman"/>
          <w:color w:val="7F7F7F" w:themeColor="text1" w:themeTint="80"/>
          <w:sz w:val="20"/>
          <w:szCs w:val="20"/>
          <w:lang w:val="en-AU"/>
        </w:rPr>
      </w:pP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shd w:val="clear" w:color="auto" w:fill="FFFFFF"/>
          <w:lang w:val="en-AU"/>
        </w:rPr>
        <w:t>Fusion beats</w:t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lang w:val="en-AU"/>
        </w:rPr>
        <w:br/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shd w:val="clear" w:color="auto" w:fill="FFFFFF"/>
          <w:lang w:val="en-AU"/>
        </w:rPr>
        <w:t>capture beats</w:t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lang w:val="en-AU"/>
        </w:rPr>
        <w:br/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shd w:val="clear" w:color="auto" w:fill="FFFFFF"/>
          <w:lang w:val="en-AU"/>
        </w:rPr>
        <w:t>Bizarre axis</w:t>
      </w:r>
      <w:r>
        <w:rPr>
          <w:rFonts w:ascii="Calibri" w:eastAsia="Times New Roman" w:hAnsi="Calibri" w:cs="Times New Roman"/>
          <w:color w:val="7F7F7F" w:themeColor="text1" w:themeTint="80"/>
          <w:sz w:val="22"/>
          <w:szCs w:val="22"/>
          <w:shd w:val="clear" w:color="auto" w:fill="FFFFFF"/>
          <w:lang w:val="en-AU"/>
        </w:rPr>
        <w:t xml:space="preserve"> (northwest)</w:t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lang w:val="en-AU"/>
        </w:rPr>
        <w:br/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shd w:val="clear" w:color="auto" w:fill="FFFFFF"/>
          <w:lang w:val="en-AU"/>
        </w:rPr>
        <w:t>all negative or positive concordance precordial leads</w:t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lang w:val="en-AU"/>
        </w:rPr>
        <w:br/>
      </w:r>
      <w:r>
        <w:rPr>
          <w:rFonts w:ascii="Calibri" w:eastAsia="Times New Roman" w:hAnsi="Calibri" w:cs="Times New Roman"/>
          <w:color w:val="7F7F7F" w:themeColor="text1" w:themeTint="80"/>
          <w:sz w:val="22"/>
          <w:szCs w:val="22"/>
          <w:shd w:val="clear" w:color="auto" w:fill="FFFFFF"/>
          <w:lang w:val="en-AU"/>
        </w:rPr>
        <w:t>V1-V2</w:t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shd w:val="clear" w:color="auto" w:fill="FFFFFF"/>
          <w:lang w:val="en-AU"/>
        </w:rPr>
        <w:t>: left rabbit ear higher in RSR</w:t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lang w:val="en-AU"/>
        </w:rPr>
        <w:br/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shd w:val="clear" w:color="auto" w:fill="FFFFFF"/>
          <w:lang w:val="en-AU"/>
        </w:rPr>
        <w:t>very broad complex &gt;160ms</w:t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lang w:val="en-AU"/>
        </w:rPr>
        <w:br/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shd w:val="clear" w:color="auto" w:fill="FFFFFF"/>
          <w:lang w:val="en-AU"/>
        </w:rPr>
        <w:t>AV dissociation</w:t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lang w:val="en-AU"/>
        </w:rPr>
        <w:br/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shd w:val="clear" w:color="auto" w:fill="FFFFFF"/>
          <w:lang w:val="en-AU"/>
        </w:rPr>
        <w:t>Signs</w:t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lang w:val="en-AU"/>
        </w:rPr>
        <w:br/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shd w:val="clear" w:color="auto" w:fill="FFFFFF"/>
          <w:lang w:val="en-AU"/>
        </w:rPr>
        <w:t>Josephson's - notching near nadir of S wave</w:t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lang w:val="en-AU"/>
        </w:rPr>
        <w:br/>
      </w:r>
      <w:r>
        <w:rPr>
          <w:rFonts w:ascii="Calibri" w:eastAsia="Times New Roman" w:hAnsi="Calibri" w:cs="Times New Roman"/>
          <w:color w:val="7F7F7F" w:themeColor="text1" w:themeTint="80"/>
          <w:sz w:val="22"/>
          <w:szCs w:val="22"/>
          <w:shd w:val="clear" w:color="auto" w:fill="FFFFFF"/>
          <w:lang w:val="en-AU"/>
        </w:rPr>
        <w:t>Brugada sign:</w:t>
      </w:r>
      <w:r w:rsidRPr="006D1260">
        <w:rPr>
          <w:rFonts w:ascii="Calibri" w:eastAsia="Times New Roman" w:hAnsi="Calibri" w:cs="Times New Roman"/>
          <w:color w:val="7F7F7F" w:themeColor="text1" w:themeTint="80"/>
          <w:sz w:val="22"/>
          <w:szCs w:val="22"/>
          <w:shd w:val="clear" w:color="auto" w:fill="FFFFFF"/>
          <w:lang w:val="en-AU"/>
        </w:rPr>
        <w:t xml:space="preserve"> onset of QRS to nadir of S is &gt;100ms</w:t>
      </w:r>
    </w:p>
    <w:p w14:paraId="46046A38" w14:textId="77777777" w:rsidR="006D1260" w:rsidRDefault="006D1260" w:rsidP="006D1260">
      <w:pPr>
        <w:pStyle w:val="ListParagraph"/>
        <w:rPr>
          <w:rStyle w:val="SubtleEmphasis"/>
          <w:i w:val="0"/>
        </w:rPr>
      </w:pPr>
    </w:p>
    <w:p w14:paraId="5BED9F48" w14:textId="77777777" w:rsidR="006D1260" w:rsidRDefault="006D1260" w:rsidP="00B143EF">
      <w:pPr>
        <w:pStyle w:val="ListParagraph"/>
        <w:rPr>
          <w:rStyle w:val="SubtleEmphasis"/>
          <w:i w:val="0"/>
        </w:rPr>
      </w:pPr>
    </w:p>
    <w:p w14:paraId="20270BE1" w14:textId="77777777" w:rsidR="00B143EF" w:rsidRDefault="00B143EF" w:rsidP="00B143EF">
      <w:pPr>
        <w:pStyle w:val="ListParagraph"/>
        <w:numPr>
          <w:ilvl w:val="0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Broad complex regular tachycardia – a number of feat</w:t>
      </w:r>
      <w:r w:rsidR="000676BA">
        <w:rPr>
          <w:rStyle w:val="SubtleEmphasis"/>
          <w:i w:val="0"/>
        </w:rPr>
        <w:t>ures consistent with VT (QRS &gt;16</w:t>
      </w:r>
      <w:r>
        <w:rPr>
          <w:rStyle w:val="SubtleEmphasis"/>
          <w:i w:val="0"/>
        </w:rPr>
        <w:t xml:space="preserve">0ms, </w:t>
      </w:r>
      <w:r w:rsidR="00D74A52">
        <w:rPr>
          <w:rStyle w:val="SubtleEmphasis"/>
          <w:i w:val="0"/>
        </w:rPr>
        <w:t>bizarre axis</w:t>
      </w:r>
      <w:r w:rsidR="000D2CF2">
        <w:rPr>
          <w:rStyle w:val="SubtleEmphasis"/>
          <w:i w:val="0"/>
        </w:rPr>
        <w:t>, age &gt;35y)</w:t>
      </w:r>
    </w:p>
    <w:p w14:paraId="14FF72D5" w14:textId="77777777" w:rsidR="00D74A52" w:rsidRDefault="00D74A52" w:rsidP="00D74A52">
      <w:pPr>
        <w:rPr>
          <w:rStyle w:val="SubtleEmphasis"/>
          <w:i w:val="0"/>
        </w:rPr>
      </w:pPr>
    </w:p>
    <w:p w14:paraId="26E522C8" w14:textId="77777777" w:rsidR="00D74A52" w:rsidRPr="00D74A52" w:rsidRDefault="00D74A52" w:rsidP="00D74A52">
      <w:pPr>
        <w:pStyle w:val="ListParagraph"/>
        <w:numPr>
          <w:ilvl w:val="0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SVT with aberrancy</w:t>
      </w:r>
      <w:r>
        <w:rPr>
          <w:rStyle w:val="SubtleEmphasis"/>
          <w:i w:val="0"/>
        </w:rPr>
        <w:br/>
        <w:t>SVT with pre-excitation</w:t>
      </w:r>
      <w:r w:rsidR="000D2CF2">
        <w:rPr>
          <w:rStyle w:val="SubtleEmphasis"/>
          <w:i w:val="0"/>
        </w:rPr>
        <w:t>/WPW</w:t>
      </w:r>
      <w:r>
        <w:rPr>
          <w:rStyle w:val="SubtleEmphasis"/>
          <w:i w:val="0"/>
        </w:rPr>
        <w:br/>
        <w:t>Ventricu</w:t>
      </w:r>
      <w:r w:rsidR="000D2CF2">
        <w:rPr>
          <w:rStyle w:val="SubtleEmphasis"/>
          <w:i w:val="0"/>
        </w:rPr>
        <w:t>lar tachycardia</w:t>
      </w:r>
      <w:r w:rsidR="000D2CF2">
        <w:rPr>
          <w:rStyle w:val="SubtleEmphasis"/>
          <w:i w:val="0"/>
        </w:rPr>
        <w:br/>
        <w:t>Paced rhythm</w:t>
      </w:r>
      <w:r>
        <w:rPr>
          <w:rStyle w:val="SubtleEmphasis"/>
          <w:i w:val="0"/>
        </w:rPr>
        <w:br/>
      </w:r>
      <w:r>
        <w:rPr>
          <w:rStyle w:val="SubtleEmphasis"/>
          <w:i w:val="0"/>
        </w:rPr>
        <w:lastRenderedPageBreak/>
        <w:t>Hyperkalaemia</w:t>
      </w:r>
      <w:r>
        <w:rPr>
          <w:rStyle w:val="SubtleEmphasis"/>
          <w:i w:val="0"/>
        </w:rPr>
        <w:br/>
        <w:t>Sodium channel blockade</w:t>
      </w:r>
    </w:p>
    <w:p w14:paraId="3F741E7C" w14:textId="77777777" w:rsidR="00D74A52" w:rsidRPr="00D74A52" w:rsidRDefault="00D74A52" w:rsidP="00D74A52">
      <w:pPr>
        <w:rPr>
          <w:rStyle w:val="SubtleEmphasis"/>
          <w:i w:val="0"/>
        </w:rPr>
      </w:pPr>
    </w:p>
    <w:p w14:paraId="64C24DFE" w14:textId="77777777" w:rsidR="00D74A52" w:rsidRDefault="00D74A52" w:rsidP="00D74A52">
      <w:pPr>
        <w:pStyle w:val="ListParagraph"/>
        <w:numPr>
          <w:ilvl w:val="0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Management</w:t>
      </w:r>
    </w:p>
    <w:p w14:paraId="0D36E60A" w14:textId="77777777" w:rsidR="00D74A52" w:rsidRPr="00D74A52" w:rsidRDefault="00D74A52" w:rsidP="00D74A52">
      <w:pPr>
        <w:rPr>
          <w:rStyle w:val="SubtleEmphasis"/>
          <w:i w:val="0"/>
        </w:rPr>
      </w:pPr>
    </w:p>
    <w:p w14:paraId="0E23BC2B" w14:textId="77777777" w:rsidR="00D74A52" w:rsidRDefault="00D74A52" w:rsidP="00D74A52">
      <w:pPr>
        <w:pStyle w:val="ListParagraph"/>
        <w:numPr>
          <w:ilvl w:val="1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Supportive – from the vitals, none required</w:t>
      </w:r>
    </w:p>
    <w:p w14:paraId="0BF66962" w14:textId="77777777" w:rsidR="00D74A52" w:rsidRDefault="00D74A52" w:rsidP="00D74A52">
      <w:pPr>
        <w:pStyle w:val="ListParagraph"/>
        <w:numPr>
          <w:ilvl w:val="1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Specific</w:t>
      </w:r>
    </w:p>
    <w:p w14:paraId="07358B14" w14:textId="77777777" w:rsidR="00D74A52" w:rsidRDefault="00D74A52" w:rsidP="00D74A52">
      <w:pPr>
        <w:pStyle w:val="ListParagraph"/>
        <w:numPr>
          <w:ilvl w:val="2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To differentiate between SVT and VT</w:t>
      </w:r>
      <w:r w:rsidR="00052781">
        <w:rPr>
          <w:rStyle w:val="SubtleEmphasis"/>
          <w:i w:val="0"/>
        </w:rPr>
        <w:t xml:space="preserve"> if clinically indicated</w:t>
      </w:r>
    </w:p>
    <w:p w14:paraId="2C2533C4" w14:textId="77777777" w:rsidR="00D74A52" w:rsidRDefault="00D74A52" w:rsidP="00D74A52">
      <w:pPr>
        <w:pStyle w:val="ListParagraph"/>
        <w:numPr>
          <w:ilvl w:val="3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AV nodal blockade: adenosine, beta blocker</w:t>
      </w:r>
    </w:p>
    <w:p w14:paraId="2A3FB435" w14:textId="77777777" w:rsidR="00D74A52" w:rsidRDefault="00D74A52" w:rsidP="00D74A52">
      <w:pPr>
        <w:pStyle w:val="ListParagraph"/>
        <w:numPr>
          <w:ilvl w:val="2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Antiarrhythmics</w:t>
      </w:r>
    </w:p>
    <w:p w14:paraId="68F10C19" w14:textId="77777777" w:rsidR="00D74A52" w:rsidRDefault="00D74A52" w:rsidP="00D74A52">
      <w:pPr>
        <w:pStyle w:val="ListParagraph"/>
        <w:numPr>
          <w:ilvl w:val="3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Amiodarone: 300mg loading, then 450mg/12hrs IV</w:t>
      </w:r>
    </w:p>
    <w:p w14:paraId="026A19CA" w14:textId="77777777" w:rsidR="00D74A52" w:rsidRDefault="00D74A52" w:rsidP="00D74A52">
      <w:pPr>
        <w:pStyle w:val="ListParagraph"/>
        <w:numPr>
          <w:ilvl w:val="3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Lignocaine 1mg/kg IV if ischaemia suspected</w:t>
      </w:r>
    </w:p>
    <w:p w14:paraId="3B6C13C7" w14:textId="77777777" w:rsidR="00052781" w:rsidRDefault="00052781" w:rsidP="00D74A52">
      <w:pPr>
        <w:pStyle w:val="ListParagraph"/>
        <w:numPr>
          <w:ilvl w:val="3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Procainamide 10mg/kg IV</w:t>
      </w:r>
    </w:p>
    <w:p w14:paraId="3C3F9861" w14:textId="77777777" w:rsidR="00D74A52" w:rsidRDefault="00D74A52" w:rsidP="00D74A52">
      <w:pPr>
        <w:pStyle w:val="ListParagraph"/>
        <w:numPr>
          <w:ilvl w:val="2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DC cardioversion</w:t>
      </w:r>
    </w:p>
    <w:p w14:paraId="6EC59EF9" w14:textId="77777777" w:rsidR="00D74A52" w:rsidRDefault="00D74A52" w:rsidP="00D74A52">
      <w:pPr>
        <w:pStyle w:val="ListParagraph"/>
        <w:numPr>
          <w:ilvl w:val="3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Primary option if there is loss of output or features of end organ failure (hypotension, confusion, syncope)</w:t>
      </w:r>
    </w:p>
    <w:p w14:paraId="2E709937" w14:textId="77777777" w:rsidR="00D74A52" w:rsidRDefault="00D74A52" w:rsidP="00D74A52">
      <w:pPr>
        <w:pStyle w:val="ListParagraph"/>
        <w:numPr>
          <w:ilvl w:val="1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Disposition</w:t>
      </w:r>
    </w:p>
    <w:p w14:paraId="30B2960B" w14:textId="77777777" w:rsidR="00D74A52" w:rsidRDefault="00D74A52" w:rsidP="00D74A52">
      <w:pPr>
        <w:pStyle w:val="ListParagraph"/>
        <w:numPr>
          <w:ilvl w:val="2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Cardiac monitoring</w:t>
      </w:r>
    </w:p>
    <w:p w14:paraId="4E32ED47" w14:textId="77777777" w:rsidR="00D74A52" w:rsidRDefault="00D74A52" w:rsidP="00D74A52">
      <w:pPr>
        <w:pStyle w:val="ListParagraph"/>
        <w:numPr>
          <w:ilvl w:val="2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Cardiology admission</w:t>
      </w:r>
    </w:p>
    <w:p w14:paraId="12C58900" w14:textId="77777777" w:rsidR="00D74A52" w:rsidRDefault="00D74A52" w:rsidP="00D74A52">
      <w:pPr>
        <w:pStyle w:val="ListParagraph"/>
        <w:numPr>
          <w:ilvl w:val="2"/>
          <w:numId w:val="2"/>
        </w:numPr>
        <w:rPr>
          <w:rStyle w:val="SubtleEmphasis"/>
          <w:i w:val="0"/>
        </w:rPr>
      </w:pPr>
      <w:r>
        <w:rPr>
          <w:rStyle w:val="SubtleEmphasis"/>
          <w:i w:val="0"/>
        </w:rPr>
        <w:t>Since HD stable, for TOE Cardioversion</w:t>
      </w:r>
    </w:p>
    <w:p w14:paraId="3F256E10" w14:textId="77777777" w:rsidR="000D2CF2" w:rsidRDefault="000D2CF2" w:rsidP="000D2CF2">
      <w:pPr>
        <w:rPr>
          <w:rStyle w:val="SubtleEmphasis"/>
          <w:i w:val="0"/>
        </w:rPr>
      </w:pPr>
    </w:p>
    <w:p w14:paraId="19FC23F9" w14:textId="77777777" w:rsidR="000D2CF2" w:rsidRDefault="000D2CF2" w:rsidP="000D2CF2">
      <w:pPr>
        <w:rPr>
          <w:rStyle w:val="SubtleEmphasis"/>
          <w:i w:val="0"/>
        </w:rPr>
      </w:pPr>
      <w:r>
        <w:rPr>
          <w:rStyle w:val="SubtleEmphasis"/>
          <w:i w:val="0"/>
        </w:rPr>
        <w:t>Discussion:</w:t>
      </w:r>
    </w:p>
    <w:p w14:paraId="78FCB7DC" w14:textId="77777777" w:rsidR="000D2CF2" w:rsidRDefault="000D2CF2" w:rsidP="000D2CF2">
      <w:pPr>
        <w:pStyle w:val="ListParagraph"/>
        <w:numPr>
          <w:ilvl w:val="0"/>
          <w:numId w:val="3"/>
        </w:numPr>
        <w:rPr>
          <w:rStyle w:val="SubtleEmphasis"/>
          <w:i w:val="0"/>
        </w:rPr>
      </w:pPr>
      <w:r>
        <w:rPr>
          <w:rStyle w:val="SubtleEmphasis"/>
          <w:i w:val="0"/>
        </w:rPr>
        <w:t xml:space="preserve">Procainamide vs Amiodarone in VT – PROCAMIO Study </w:t>
      </w:r>
      <w:r w:rsidR="000676BA">
        <w:rPr>
          <w:rStyle w:val="SubtleEmphasis"/>
          <w:i w:val="0"/>
        </w:rPr>
        <w:t>n=74</w:t>
      </w:r>
    </w:p>
    <w:p w14:paraId="122659CD" w14:textId="77777777" w:rsidR="000676BA" w:rsidRDefault="000676BA" w:rsidP="000676BA">
      <w:pPr>
        <w:pStyle w:val="ListParagraph"/>
        <w:numPr>
          <w:ilvl w:val="1"/>
          <w:numId w:val="3"/>
        </w:numPr>
        <w:rPr>
          <w:rStyle w:val="SubtleEmphasis"/>
          <w:i w:val="0"/>
        </w:rPr>
      </w:pPr>
      <w:r>
        <w:rPr>
          <w:rStyle w:val="SubtleEmphasis"/>
          <w:i w:val="0"/>
        </w:rPr>
        <w:t>This study – procainamide was superior to amiodarone</w:t>
      </w:r>
    </w:p>
    <w:p w14:paraId="644FD015" w14:textId="77777777" w:rsidR="000676BA" w:rsidRDefault="000676BA" w:rsidP="000676BA">
      <w:pPr>
        <w:pStyle w:val="ListParagraph"/>
        <w:numPr>
          <w:ilvl w:val="2"/>
          <w:numId w:val="3"/>
        </w:numPr>
        <w:rPr>
          <w:rStyle w:val="SubtleEmphasis"/>
          <w:i w:val="0"/>
        </w:rPr>
      </w:pPr>
      <w:r>
        <w:rPr>
          <w:rStyle w:val="SubtleEmphasis"/>
          <w:i w:val="0"/>
        </w:rPr>
        <w:t>Decreased incidence of adverse events 9% vs 41% p = 0.006)</w:t>
      </w:r>
    </w:p>
    <w:p w14:paraId="64EEA1D3" w14:textId="77777777" w:rsidR="000676BA" w:rsidRDefault="000676BA" w:rsidP="000676BA">
      <w:pPr>
        <w:pStyle w:val="ListParagraph"/>
        <w:numPr>
          <w:ilvl w:val="2"/>
          <w:numId w:val="3"/>
        </w:numPr>
        <w:rPr>
          <w:rStyle w:val="SubtleEmphasis"/>
          <w:i w:val="0"/>
        </w:rPr>
      </w:pPr>
      <w:r>
        <w:rPr>
          <w:rStyle w:val="SubtleEmphasis"/>
          <w:i w:val="0"/>
        </w:rPr>
        <w:t>Termination of tachycardia Proc 67% vs Amio 38%</w:t>
      </w:r>
    </w:p>
    <w:p w14:paraId="31C30095" w14:textId="77777777" w:rsidR="00002C04" w:rsidRDefault="00002C04" w:rsidP="00002C04">
      <w:pPr>
        <w:rPr>
          <w:rStyle w:val="SubtleEmphasis"/>
          <w:i w:val="0"/>
        </w:rPr>
      </w:pPr>
    </w:p>
    <w:p w14:paraId="20FA214F" w14:textId="77777777" w:rsidR="00002C04" w:rsidRDefault="00002C04" w:rsidP="00002C04">
      <w:pPr>
        <w:rPr>
          <w:rStyle w:val="SubtleEmphasis"/>
          <w:i w:val="0"/>
        </w:rPr>
      </w:pPr>
      <w:r>
        <w:rPr>
          <w:rStyle w:val="SubtleEmphasis"/>
          <w:i w:val="0"/>
        </w:rPr>
        <w:t>BONUS ECG</w:t>
      </w:r>
    </w:p>
    <w:p w14:paraId="36DC8A9F" w14:textId="77777777" w:rsidR="00002C04" w:rsidRDefault="00002C04" w:rsidP="00002C04">
      <w:pPr>
        <w:rPr>
          <w:rStyle w:val="SubtleEmphasis"/>
          <w:i w:val="0"/>
        </w:rPr>
      </w:pPr>
      <w:r>
        <w:rPr>
          <w:rStyle w:val="SubtleEmphasis"/>
          <w:i w:val="0"/>
        </w:rPr>
        <w:t xml:space="preserve">Non specific T wave changes in Lead III. Note the different QRS morphology. </w:t>
      </w:r>
    </w:p>
    <w:p w14:paraId="45BED512" w14:textId="77777777" w:rsidR="00002C04" w:rsidRDefault="00002C04" w:rsidP="00002C04">
      <w:pPr>
        <w:rPr>
          <w:rStyle w:val="SubtleEmphasis"/>
          <w:i w:val="0"/>
        </w:rPr>
      </w:pPr>
      <w:r>
        <w:rPr>
          <w:rStyle w:val="SubtleEmphasis"/>
          <w:i w:val="0"/>
        </w:rPr>
        <w:t>HEART score is an externally validated risk assessment tool</w:t>
      </w:r>
      <w:r w:rsidR="007F4F3F">
        <w:rPr>
          <w:rStyle w:val="SubtleEmphasis"/>
          <w:i w:val="0"/>
        </w:rPr>
        <w:t xml:space="preserve"> for chest pain in the emergency department population</w:t>
      </w:r>
    </w:p>
    <w:p w14:paraId="4500EF2D" w14:textId="77777777" w:rsidR="007F4F3F" w:rsidRDefault="007F4F3F" w:rsidP="00002C04">
      <w:pPr>
        <w:rPr>
          <w:rStyle w:val="SubtleEmphasis"/>
          <w:i w:val="0"/>
        </w:rPr>
      </w:pPr>
    </w:p>
    <w:p w14:paraId="4FE470CE" w14:textId="77777777" w:rsidR="007F4F3F" w:rsidRDefault="007F4F3F" w:rsidP="00002C04">
      <w:pPr>
        <w:rPr>
          <w:rStyle w:val="SubtleEmphasis"/>
          <w:i w:val="0"/>
        </w:rPr>
      </w:pPr>
      <w:r>
        <w:rPr>
          <w:rStyle w:val="SubtleEmphasis"/>
          <w:i w:val="0"/>
        </w:rPr>
        <w:lastRenderedPageBreak/>
        <w:t>There are 5 components of the HEART score, each represented by one letter.</w:t>
      </w:r>
    </w:p>
    <w:p w14:paraId="09C8786A" w14:textId="77777777" w:rsidR="007F4F3F" w:rsidRPr="007F4F3F" w:rsidRDefault="007F4F3F" w:rsidP="007F4F3F">
      <w:pPr>
        <w:rPr>
          <w:rStyle w:val="SubtleEmphasis"/>
          <w:rFonts w:asciiTheme="majorHAnsi" w:hAnsiTheme="majorHAnsi"/>
          <w:i w:val="0"/>
          <w:sz w:val="20"/>
          <w:szCs w:val="20"/>
        </w:rPr>
      </w:pPr>
    </w:p>
    <w:tbl>
      <w:tblPr>
        <w:tblW w:w="0" w:type="auto"/>
        <w:tblBorders>
          <w:top w:val="single" w:sz="8" w:space="0" w:color="929292"/>
          <w:left w:val="single" w:sz="8" w:space="0" w:color="929292"/>
          <w:right w:val="single" w:sz="8" w:space="0" w:color="929292"/>
        </w:tblBorders>
        <w:tblLayout w:type="fixed"/>
        <w:tblLook w:val="0000" w:firstRow="0" w:lastRow="0" w:firstColumn="0" w:lastColumn="0" w:noHBand="0" w:noVBand="0"/>
      </w:tblPr>
      <w:tblGrid>
        <w:gridCol w:w="1280"/>
        <w:gridCol w:w="6794"/>
      </w:tblGrid>
      <w:tr w:rsidR="007F4F3F" w:rsidRPr="007F4F3F" w14:paraId="300F3990" w14:textId="77777777">
        <w:tc>
          <w:tcPr>
            <w:tcW w:w="1280" w:type="dxa"/>
            <w:tcBorders>
              <w:top w:val="single" w:sz="8" w:space="0" w:color="929292"/>
              <w:bottom w:val="single" w:sz="8" w:space="0" w:color="929292"/>
              <w:right w:val="single" w:sz="8" w:space="0" w:color="929292"/>
            </w:tcBorders>
            <w:tcMar>
              <w:top w:w="106" w:type="nil"/>
              <w:left w:w="106" w:type="nil"/>
              <w:bottom w:w="106" w:type="nil"/>
              <w:right w:w="106" w:type="nil"/>
            </w:tcMar>
          </w:tcPr>
          <w:p w14:paraId="6AC02B5C" w14:textId="77777777" w:rsidR="007F4F3F" w:rsidRPr="007F4F3F" w:rsidRDefault="007F4F3F" w:rsidP="007F4F3F">
            <w:pPr>
              <w:rPr>
                <w:rFonts w:asciiTheme="majorHAnsi" w:hAnsiTheme="majorHAnsi" w:cs="Cambria"/>
                <w:color w:val="000000"/>
                <w:sz w:val="20"/>
                <w:szCs w:val="20"/>
              </w:rPr>
            </w:pPr>
            <w:r w:rsidRPr="007F4F3F">
              <w:rPr>
                <w:rFonts w:asciiTheme="majorHAnsi" w:hAnsiTheme="majorHAnsi" w:cs="Cambria"/>
                <w:color w:val="000000"/>
                <w:sz w:val="20"/>
                <w:szCs w:val="20"/>
              </w:rPr>
              <w:t>H</w:t>
            </w:r>
          </w:p>
        </w:tc>
        <w:tc>
          <w:tcPr>
            <w:tcW w:w="6794" w:type="dxa"/>
            <w:tcBorders>
              <w:top w:val="single" w:sz="8" w:space="0" w:color="929292"/>
              <w:left w:val="single" w:sz="8" w:space="0" w:color="929292"/>
              <w:bottom w:val="single" w:sz="8" w:space="0" w:color="929292"/>
            </w:tcBorders>
            <w:tcMar>
              <w:top w:w="106" w:type="nil"/>
              <w:left w:w="106" w:type="nil"/>
              <w:bottom w:w="106" w:type="nil"/>
              <w:right w:w="106" w:type="nil"/>
            </w:tcMar>
          </w:tcPr>
          <w:p w14:paraId="694C52BE" w14:textId="77777777" w:rsidR="007F4F3F" w:rsidRPr="007F4F3F" w:rsidRDefault="007F4F3F" w:rsidP="007F4F3F">
            <w:pPr>
              <w:rPr>
                <w:rFonts w:asciiTheme="majorHAnsi" w:hAnsiTheme="majorHAnsi" w:cs="Cambria"/>
                <w:color w:val="000000"/>
                <w:sz w:val="20"/>
                <w:szCs w:val="20"/>
              </w:rPr>
            </w:pPr>
            <w:r w:rsidRPr="007F4F3F">
              <w:rPr>
                <w:rFonts w:asciiTheme="majorHAnsi" w:hAnsiTheme="majorHAnsi" w:cs="Cambria"/>
                <w:color w:val="000000"/>
                <w:sz w:val="20"/>
                <w:szCs w:val="20"/>
              </w:rPr>
              <w:t>History - highly suspicious, moderately, slightly</w:t>
            </w:r>
            <w:r w:rsidR="003D1EB0">
              <w:rPr>
                <w:rFonts w:asciiTheme="majorHAnsi" w:hAnsiTheme="majorHAnsi" w:cs="Cambria"/>
                <w:color w:val="000000"/>
                <w:sz w:val="20"/>
                <w:szCs w:val="20"/>
              </w:rPr>
              <w:t xml:space="preserve"> (0,1,2)</w:t>
            </w:r>
          </w:p>
        </w:tc>
      </w:tr>
      <w:tr w:rsidR="007F4F3F" w:rsidRPr="007F4F3F" w14:paraId="2A587194" w14:textId="77777777">
        <w:tblPrEx>
          <w:tblBorders>
            <w:top w:val="none" w:sz="0" w:space="0" w:color="auto"/>
          </w:tblBorders>
        </w:tblPrEx>
        <w:tc>
          <w:tcPr>
            <w:tcW w:w="1280" w:type="dxa"/>
            <w:tcBorders>
              <w:top w:val="single" w:sz="8" w:space="0" w:color="929292"/>
              <w:bottom w:val="single" w:sz="8" w:space="0" w:color="929292"/>
              <w:right w:val="single" w:sz="8" w:space="0" w:color="929292"/>
            </w:tcBorders>
            <w:tcMar>
              <w:top w:w="106" w:type="nil"/>
              <w:left w:w="106" w:type="nil"/>
              <w:bottom w:w="106" w:type="nil"/>
              <w:right w:w="106" w:type="nil"/>
            </w:tcMar>
          </w:tcPr>
          <w:p w14:paraId="53200A6D" w14:textId="77777777" w:rsidR="007F4F3F" w:rsidRPr="007F4F3F" w:rsidRDefault="007F4F3F" w:rsidP="007F4F3F">
            <w:pPr>
              <w:rPr>
                <w:rFonts w:asciiTheme="majorHAnsi" w:hAnsiTheme="majorHAnsi" w:cs="Cambria"/>
                <w:color w:val="000000"/>
                <w:sz w:val="20"/>
                <w:szCs w:val="20"/>
              </w:rPr>
            </w:pPr>
            <w:r w:rsidRPr="007F4F3F">
              <w:rPr>
                <w:rFonts w:asciiTheme="majorHAnsi" w:hAnsiTheme="majorHAnsi" w:cs="Cambria"/>
                <w:color w:val="000000"/>
                <w:sz w:val="20"/>
                <w:szCs w:val="20"/>
              </w:rPr>
              <w:t>E</w:t>
            </w:r>
          </w:p>
        </w:tc>
        <w:tc>
          <w:tcPr>
            <w:tcW w:w="6794" w:type="dxa"/>
            <w:tcBorders>
              <w:top w:val="single" w:sz="8" w:space="0" w:color="929292"/>
              <w:left w:val="single" w:sz="8" w:space="0" w:color="929292"/>
              <w:bottom w:val="single" w:sz="8" w:space="0" w:color="929292"/>
            </w:tcBorders>
            <w:tcMar>
              <w:top w:w="106" w:type="nil"/>
              <w:left w:w="106" w:type="nil"/>
              <w:bottom w:w="106" w:type="nil"/>
              <w:right w:w="106" w:type="nil"/>
            </w:tcMar>
          </w:tcPr>
          <w:p w14:paraId="0F3CCB85" w14:textId="77777777" w:rsidR="007F4F3F" w:rsidRPr="007F4F3F" w:rsidRDefault="007F4F3F" w:rsidP="007F4F3F">
            <w:pPr>
              <w:rPr>
                <w:rFonts w:asciiTheme="majorHAnsi" w:hAnsiTheme="majorHAnsi" w:cs="Cambria"/>
                <w:color w:val="000000"/>
                <w:sz w:val="20"/>
                <w:szCs w:val="20"/>
              </w:rPr>
            </w:pPr>
            <w:r w:rsidRPr="007F4F3F">
              <w:rPr>
                <w:rFonts w:asciiTheme="majorHAnsi" w:hAnsiTheme="majorHAnsi" w:cs="Cambria"/>
                <w:color w:val="000000"/>
                <w:sz w:val="20"/>
                <w:szCs w:val="20"/>
              </w:rPr>
              <w:t>ECG - ST T changes, nonspecific TW, normal</w:t>
            </w:r>
            <w:r w:rsidR="003D1EB0">
              <w:rPr>
                <w:rFonts w:asciiTheme="majorHAnsi" w:hAnsiTheme="majorHAnsi" w:cs="Cambria"/>
                <w:color w:val="000000"/>
                <w:sz w:val="20"/>
                <w:szCs w:val="20"/>
              </w:rPr>
              <w:t xml:space="preserve"> (0,1,2)</w:t>
            </w:r>
          </w:p>
        </w:tc>
      </w:tr>
      <w:tr w:rsidR="007F4F3F" w:rsidRPr="007F4F3F" w14:paraId="639CE4FC" w14:textId="77777777">
        <w:tblPrEx>
          <w:tblBorders>
            <w:top w:val="none" w:sz="0" w:space="0" w:color="auto"/>
          </w:tblBorders>
        </w:tblPrEx>
        <w:tc>
          <w:tcPr>
            <w:tcW w:w="1280" w:type="dxa"/>
            <w:tcBorders>
              <w:top w:val="single" w:sz="8" w:space="0" w:color="929292"/>
              <w:bottom w:val="single" w:sz="8" w:space="0" w:color="929292"/>
              <w:right w:val="single" w:sz="8" w:space="0" w:color="929292"/>
            </w:tcBorders>
            <w:tcMar>
              <w:top w:w="106" w:type="nil"/>
              <w:left w:w="106" w:type="nil"/>
              <w:bottom w:w="106" w:type="nil"/>
              <w:right w:w="106" w:type="nil"/>
            </w:tcMar>
          </w:tcPr>
          <w:p w14:paraId="1E0A0074" w14:textId="77777777" w:rsidR="007F4F3F" w:rsidRPr="007F4F3F" w:rsidRDefault="007F4F3F" w:rsidP="007F4F3F">
            <w:pPr>
              <w:rPr>
                <w:rFonts w:asciiTheme="majorHAnsi" w:hAnsiTheme="majorHAnsi" w:cs="Cambria"/>
                <w:color w:val="000000"/>
                <w:sz w:val="20"/>
                <w:szCs w:val="20"/>
              </w:rPr>
            </w:pPr>
            <w:r w:rsidRPr="007F4F3F">
              <w:rPr>
                <w:rFonts w:asciiTheme="majorHAnsi" w:hAnsiTheme="majorHAnsi" w:cs="Cambria"/>
                <w:color w:val="000000"/>
                <w:sz w:val="20"/>
                <w:szCs w:val="20"/>
              </w:rPr>
              <w:t>A</w:t>
            </w:r>
          </w:p>
        </w:tc>
        <w:tc>
          <w:tcPr>
            <w:tcW w:w="6794" w:type="dxa"/>
            <w:tcBorders>
              <w:top w:val="single" w:sz="8" w:space="0" w:color="929292"/>
              <w:left w:val="single" w:sz="8" w:space="0" w:color="929292"/>
              <w:bottom w:val="single" w:sz="8" w:space="0" w:color="929292"/>
            </w:tcBorders>
            <w:tcMar>
              <w:top w:w="106" w:type="nil"/>
              <w:left w:w="106" w:type="nil"/>
              <w:bottom w:w="106" w:type="nil"/>
              <w:right w:w="106" w:type="nil"/>
            </w:tcMar>
          </w:tcPr>
          <w:p w14:paraId="00C012C6" w14:textId="77777777" w:rsidR="007F4F3F" w:rsidRPr="007F4F3F" w:rsidRDefault="007F4F3F" w:rsidP="007F4F3F">
            <w:pPr>
              <w:rPr>
                <w:rFonts w:asciiTheme="majorHAnsi" w:hAnsiTheme="majorHAnsi" w:cs="Cambria"/>
                <w:color w:val="000000"/>
                <w:sz w:val="20"/>
                <w:szCs w:val="20"/>
              </w:rPr>
            </w:pPr>
            <w:r w:rsidRPr="007F4F3F">
              <w:rPr>
                <w:rFonts w:asciiTheme="majorHAnsi" w:hAnsiTheme="majorHAnsi" w:cs="Cambria"/>
                <w:color w:val="000000"/>
                <w:sz w:val="20"/>
                <w:szCs w:val="20"/>
              </w:rPr>
              <w:t>&lt;45, 45-65, &gt;65</w:t>
            </w:r>
            <w:r w:rsidR="003D1EB0">
              <w:rPr>
                <w:rFonts w:asciiTheme="majorHAnsi" w:hAnsiTheme="majorHAnsi" w:cs="Cambria"/>
                <w:color w:val="000000"/>
                <w:sz w:val="20"/>
                <w:szCs w:val="20"/>
              </w:rPr>
              <w:t xml:space="preserve"> (0,1,2)</w:t>
            </w:r>
          </w:p>
        </w:tc>
      </w:tr>
      <w:tr w:rsidR="007F4F3F" w:rsidRPr="007F4F3F" w14:paraId="5E705AE1" w14:textId="77777777">
        <w:tblPrEx>
          <w:tblBorders>
            <w:top w:val="none" w:sz="0" w:space="0" w:color="auto"/>
          </w:tblBorders>
        </w:tblPrEx>
        <w:tc>
          <w:tcPr>
            <w:tcW w:w="1280" w:type="dxa"/>
            <w:tcBorders>
              <w:top w:val="single" w:sz="8" w:space="0" w:color="929292"/>
              <w:bottom w:val="single" w:sz="8" w:space="0" w:color="929292"/>
              <w:right w:val="single" w:sz="8" w:space="0" w:color="929292"/>
            </w:tcBorders>
            <w:tcMar>
              <w:top w:w="106" w:type="nil"/>
              <w:left w:w="106" w:type="nil"/>
              <w:bottom w:w="106" w:type="nil"/>
              <w:right w:w="106" w:type="nil"/>
            </w:tcMar>
          </w:tcPr>
          <w:p w14:paraId="15097416" w14:textId="77777777" w:rsidR="007F4F3F" w:rsidRPr="007F4F3F" w:rsidRDefault="007F4F3F" w:rsidP="007F4F3F">
            <w:pPr>
              <w:rPr>
                <w:rFonts w:asciiTheme="majorHAnsi" w:hAnsiTheme="majorHAnsi" w:cs="Cambria"/>
                <w:color w:val="000000"/>
                <w:sz w:val="20"/>
                <w:szCs w:val="20"/>
              </w:rPr>
            </w:pPr>
            <w:r w:rsidRPr="007F4F3F">
              <w:rPr>
                <w:rFonts w:asciiTheme="majorHAnsi" w:hAnsiTheme="majorHAnsi" w:cs="Cambria"/>
                <w:color w:val="000000"/>
                <w:sz w:val="20"/>
                <w:szCs w:val="20"/>
              </w:rPr>
              <w:t>R</w:t>
            </w:r>
          </w:p>
        </w:tc>
        <w:tc>
          <w:tcPr>
            <w:tcW w:w="6794" w:type="dxa"/>
            <w:tcBorders>
              <w:top w:val="single" w:sz="8" w:space="0" w:color="929292"/>
              <w:left w:val="single" w:sz="8" w:space="0" w:color="929292"/>
              <w:bottom w:val="single" w:sz="8" w:space="0" w:color="929292"/>
            </w:tcBorders>
            <w:tcMar>
              <w:top w:w="106" w:type="nil"/>
              <w:left w:w="106" w:type="nil"/>
              <w:bottom w:w="106" w:type="nil"/>
              <w:right w:w="106" w:type="nil"/>
            </w:tcMar>
          </w:tcPr>
          <w:p w14:paraId="26B73B72" w14:textId="77777777" w:rsidR="007F4F3F" w:rsidRPr="007F4F3F" w:rsidRDefault="003D1EB0" w:rsidP="007F4F3F">
            <w:pPr>
              <w:rPr>
                <w:rFonts w:asciiTheme="majorHAnsi" w:hAnsiTheme="majorHAnsi" w:cs="Cambri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mbria"/>
                <w:color w:val="000000"/>
                <w:sz w:val="20"/>
                <w:szCs w:val="20"/>
              </w:rPr>
              <w:t>Risk factors:</w:t>
            </w:r>
            <w:r w:rsidR="007F4F3F" w:rsidRPr="007F4F3F">
              <w:rPr>
                <w:rFonts w:asciiTheme="majorHAnsi" w:hAnsiTheme="majorHAnsi" w:cs="Cambria"/>
                <w:color w:val="000000"/>
                <w:sz w:val="20"/>
                <w:szCs w:val="20"/>
              </w:rPr>
              <w:t xml:space="preserve"> 0, 1-2, 3 or more</w:t>
            </w:r>
            <w:r>
              <w:rPr>
                <w:rFonts w:asciiTheme="majorHAnsi" w:hAnsiTheme="majorHAnsi" w:cs="Cambria"/>
                <w:color w:val="000000"/>
                <w:sz w:val="20"/>
                <w:szCs w:val="20"/>
              </w:rPr>
              <w:t xml:space="preserve"> (0,1,2)</w:t>
            </w:r>
          </w:p>
        </w:tc>
      </w:tr>
      <w:tr w:rsidR="007F4F3F" w:rsidRPr="007F4F3F" w14:paraId="1F2AC1BF" w14:textId="77777777">
        <w:tblPrEx>
          <w:tblBorders>
            <w:top w:val="none" w:sz="0" w:space="0" w:color="auto"/>
            <w:bottom w:val="single" w:sz="8" w:space="0" w:color="929292"/>
          </w:tblBorders>
        </w:tblPrEx>
        <w:tc>
          <w:tcPr>
            <w:tcW w:w="1280" w:type="dxa"/>
            <w:tcBorders>
              <w:top w:val="single" w:sz="8" w:space="0" w:color="929292"/>
              <w:bottom w:val="single" w:sz="8" w:space="0" w:color="929292"/>
              <w:right w:val="single" w:sz="8" w:space="0" w:color="929292"/>
            </w:tcBorders>
            <w:tcMar>
              <w:top w:w="106" w:type="nil"/>
              <w:left w:w="106" w:type="nil"/>
              <w:bottom w:w="106" w:type="nil"/>
              <w:right w:w="106" w:type="nil"/>
            </w:tcMar>
          </w:tcPr>
          <w:p w14:paraId="175B5B1C" w14:textId="77777777" w:rsidR="007F4F3F" w:rsidRPr="007F4F3F" w:rsidRDefault="007F4F3F" w:rsidP="007F4F3F">
            <w:pPr>
              <w:rPr>
                <w:rFonts w:asciiTheme="majorHAnsi" w:hAnsiTheme="majorHAnsi" w:cs="Cambria"/>
                <w:color w:val="000000"/>
                <w:sz w:val="20"/>
                <w:szCs w:val="20"/>
              </w:rPr>
            </w:pPr>
            <w:r w:rsidRPr="007F4F3F">
              <w:rPr>
                <w:rFonts w:asciiTheme="majorHAnsi" w:hAnsiTheme="majorHAnsi" w:cs="Cambria"/>
                <w:color w:val="000000"/>
                <w:sz w:val="20"/>
                <w:szCs w:val="20"/>
              </w:rPr>
              <w:t>T</w:t>
            </w:r>
          </w:p>
        </w:tc>
        <w:tc>
          <w:tcPr>
            <w:tcW w:w="6794" w:type="dxa"/>
            <w:tcBorders>
              <w:top w:val="single" w:sz="8" w:space="0" w:color="929292"/>
              <w:left w:val="single" w:sz="8" w:space="0" w:color="929292"/>
              <w:bottom w:val="single" w:sz="8" w:space="0" w:color="929292"/>
            </w:tcBorders>
            <w:tcMar>
              <w:top w:w="106" w:type="nil"/>
              <w:left w:w="106" w:type="nil"/>
              <w:bottom w:w="106" w:type="nil"/>
              <w:right w:w="106" w:type="nil"/>
            </w:tcMar>
          </w:tcPr>
          <w:p w14:paraId="26C2EDD5" w14:textId="77777777" w:rsidR="007F4F3F" w:rsidRPr="007F4F3F" w:rsidRDefault="007F4F3F" w:rsidP="007F4F3F">
            <w:pPr>
              <w:rPr>
                <w:rFonts w:asciiTheme="majorHAnsi" w:hAnsiTheme="majorHAnsi" w:cs="Cambria"/>
                <w:color w:val="000000"/>
                <w:sz w:val="20"/>
                <w:szCs w:val="20"/>
              </w:rPr>
            </w:pPr>
            <w:r w:rsidRPr="007F4F3F">
              <w:rPr>
                <w:rFonts w:asciiTheme="majorHAnsi" w:hAnsiTheme="majorHAnsi" w:cs="Cambria"/>
                <w:color w:val="000000"/>
                <w:sz w:val="20"/>
                <w:szCs w:val="20"/>
              </w:rPr>
              <w:t>Normal, 1-3x upper limit of normal, &gt;3x normal</w:t>
            </w:r>
            <w:r w:rsidR="003D1EB0">
              <w:rPr>
                <w:rFonts w:asciiTheme="majorHAnsi" w:hAnsiTheme="majorHAnsi" w:cs="Cambria"/>
                <w:color w:val="000000"/>
                <w:sz w:val="20"/>
                <w:szCs w:val="20"/>
              </w:rPr>
              <w:t xml:space="preserve"> (0,1,2)</w:t>
            </w:r>
          </w:p>
        </w:tc>
      </w:tr>
    </w:tbl>
    <w:p w14:paraId="46578D29" w14:textId="77777777" w:rsidR="007F4F3F" w:rsidRPr="007F4F3F" w:rsidRDefault="007F4F3F" w:rsidP="007F4F3F">
      <w:pPr>
        <w:rPr>
          <w:rFonts w:asciiTheme="majorHAnsi" w:hAnsiTheme="majorHAnsi" w:cs="Calibri"/>
          <w:color w:val="000000"/>
          <w:sz w:val="20"/>
          <w:szCs w:val="20"/>
        </w:rPr>
      </w:pPr>
      <w:r w:rsidRPr="007F4F3F">
        <w:rPr>
          <w:rFonts w:asciiTheme="majorHAnsi" w:hAnsiTheme="majorHAnsi" w:cs="Calibri"/>
          <w:color w:val="000000"/>
          <w:sz w:val="20"/>
          <w:szCs w:val="20"/>
        </w:rPr>
        <w:t> </w:t>
      </w:r>
    </w:p>
    <w:p w14:paraId="27CF3064" w14:textId="77777777" w:rsidR="003D1EB0" w:rsidRDefault="003D1EB0" w:rsidP="007F4F3F">
      <w:pPr>
        <w:widowControl w:val="0"/>
        <w:autoSpaceDE w:val="0"/>
        <w:autoSpaceDN w:val="0"/>
        <w:adjustRightInd w:val="0"/>
        <w:spacing w:line="360" w:lineRule="atLeast"/>
        <w:rPr>
          <w:rStyle w:val="SubtleEmphasis"/>
          <w:i w:val="0"/>
        </w:rPr>
      </w:pPr>
      <w:r>
        <w:rPr>
          <w:iCs/>
          <w:noProof/>
          <w:color w:val="808080" w:themeColor="text1" w:themeTint="7F"/>
          <w:lang w:val="en-AU" w:eastAsia="en-AU"/>
        </w:rPr>
        <w:drawing>
          <wp:inline distT="0" distB="0" distL="0" distR="0" wp14:anchorId="6A44D603" wp14:editId="6DD3192A">
            <wp:extent cx="3769995" cy="265212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302" cy="2652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045A4" w14:textId="77777777" w:rsidR="003D1EB0" w:rsidRDefault="003D1EB0" w:rsidP="007F4F3F">
      <w:pPr>
        <w:widowControl w:val="0"/>
        <w:autoSpaceDE w:val="0"/>
        <w:autoSpaceDN w:val="0"/>
        <w:adjustRightInd w:val="0"/>
        <w:spacing w:line="360" w:lineRule="atLeast"/>
        <w:rPr>
          <w:rStyle w:val="SubtleEmphasis"/>
          <w:i w:val="0"/>
        </w:rPr>
      </w:pPr>
    </w:p>
    <w:p w14:paraId="1DFC9233" w14:textId="77777777" w:rsidR="007F4F3F" w:rsidRDefault="007F4F3F" w:rsidP="007F4F3F">
      <w:pPr>
        <w:widowControl w:val="0"/>
        <w:autoSpaceDE w:val="0"/>
        <w:autoSpaceDN w:val="0"/>
        <w:adjustRightInd w:val="0"/>
        <w:spacing w:line="360" w:lineRule="atLeast"/>
        <w:rPr>
          <w:rStyle w:val="SubtleEmphasis"/>
          <w:i w:val="0"/>
        </w:rPr>
      </w:pPr>
      <w:r>
        <w:rPr>
          <w:rStyle w:val="SubtleEmphasis"/>
          <w:i w:val="0"/>
        </w:rPr>
        <w:t xml:space="preserve">This patient would score one </w:t>
      </w:r>
    </w:p>
    <w:p w14:paraId="7D817E66" w14:textId="77777777" w:rsidR="007F4F3F" w:rsidRDefault="007F4F3F" w:rsidP="007F4F3F">
      <w:pPr>
        <w:widowControl w:val="0"/>
        <w:autoSpaceDE w:val="0"/>
        <w:autoSpaceDN w:val="0"/>
        <w:adjustRightInd w:val="0"/>
        <w:spacing w:line="360" w:lineRule="atLeast"/>
        <w:rPr>
          <w:rStyle w:val="SubtleEmphasis"/>
          <w:i w:val="0"/>
        </w:rPr>
      </w:pPr>
      <w:r>
        <w:rPr>
          <w:rStyle w:val="SubtleEmphasis"/>
          <w:i w:val="0"/>
        </w:rPr>
        <w:t>H: moderate = 1 point</w:t>
      </w:r>
    </w:p>
    <w:p w14:paraId="6BDB0105" w14:textId="77777777" w:rsidR="007F4F3F" w:rsidRDefault="007F4F3F" w:rsidP="007F4F3F">
      <w:pPr>
        <w:widowControl w:val="0"/>
        <w:autoSpaceDE w:val="0"/>
        <w:autoSpaceDN w:val="0"/>
        <w:adjustRightInd w:val="0"/>
        <w:spacing w:line="360" w:lineRule="atLeast"/>
        <w:rPr>
          <w:rStyle w:val="SubtleEmphasis"/>
          <w:i w:val="0"/>
        </w:rPr>
      </w:pPr>
      <w:r>
        <w:rPr>
          <w:rStyle w:val="SubtleEmphasis"/>
          <w:i w:val="0"/>
        </w:rPr>
        <w:t>E: non specific TWI = 1 point</w:t>
      </w:r>
    </w:p>
    <w:p w14:paraId="4BC3014B" w14:textId="77777777" w:rsidR="007F4F3F" w:rsidRDefault="007F4F3F" w:rsidP="007F4F3F">
      <w:pPr>
        <w:widowControl w:val="0"/>
        <w:autoSpaceDE w:val="0"/>
        <w:autoSpaceDN w:val="0"/>
        <w:adjustRightInd w:val="0"/>
        <w:spacing w:line="360" w:lineRule="atLeast"/>
        <w:rPr>
          <w:rStyle w:val="SubtleEmphasis"/>
          <w:i w:val="0"/>
        </w:rPr>
      </w:pPr>
    </w:p>
    <w:p w14:paraId="13158A6B" w14:textId="77777777" w:rsidR="007F4F3F" w:rsidRDefault="007F4F3F" w:rsidP="007F4F3F">
      <w:pPr>
        <w:widowControl w:val="0"/>
        <w:autoSpaceDE w:val="0"/>
        <w:autoSpaceDN w:val="0"/>
        <w:adjustRightInd w:val="0"/>
        <w:spacing w:line="360" w:lineRule="atLeast"/>
        <w:rPr>
          <w:rStyle w:val="SubtleEmphasis"/>
          <w:i w:val="0"/>
        </w:rPr>
      </w:pPr>
      <w:r>
        <w:rPr>
          <w:rStyle w:val="SubtleEmphasis"/>
          <w:i w:val="0"/>
        </w:rPr>
        <w:t>Total of 2 points, and low risk ACS and has a 6 week risk of MACE of 1.6%.  The suggested disposition plan is for outpatient risk stratification. Eg  exercise stress test, CT coronary angiogram, stress echo or a myocardial perfusion scan.</w:t>
      </w:r>
      <w:r w:rsidR="003D1EB0">
        <w:rPr>
          <w:rStyle w:val="SubtleEmphasis"/>
          <w:i w:val="0"/>
        </w:rPr>
        <w:t xml:space="preserve">  In view of practicality, EST is the likely option.</w:t>
      </w:r>
    </w:p>
    <w:p w14:paraId="3C6BDB20" w14:textId="77777777" w:rsidR="003D1EB0" w:rsidRPr="007F4F3F" w:rsidRDefault="003D1EB0" w:rsidP="007F4F3F">
      <w:pPr>
        <w:widowControl w:val="0"/>
        <w:autoSpaceDE w:val="0"/>
        <w:autoSpaceDN w:val="0"/>
        <w:adjustRightInd w:val="0"/>
        <w:spacing w:line="360" w:lineRule="atLeast"/>
        <w:rPr>
          <w:rStyle w:val="SubtleEmphasis"/>
          <w:i w:val="0"/>
        </w:rPr>
      </w:pPr>
      <w:r w:rsidRPr="003D1EB0">
        <w:rPr>
          <w:rStyle w:val="SubtleEmphasis"/>
          <w:i w:val="0"/>
          <w:noProof/>
          <w:lang w:val="en-AU" w:eastAsia="en-AU"/>
        </w:rPr>
        <w:lastRenderedPageBreak/>
        <w:drawing>
          <wp:inline distT="0" distB="0" distL="0" distR="0" wp14:anchorId="5679458F" wp14:editId="056E6EF9">
            <wp:extent cx="4684395" cy="210693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1EB0" w:rsidRPr="007F4F3F" w:rsidSect="00B143EF">
      <w:pgSz w:w="11900" w:h="16820"/>
      <w:pgMar w:top="1440" w:right="1800" w:bottom="1440" w:left="107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F650DF" w14:textId="77777777" w:rsidR="002626F0" w:rsidRDefault="002626F0" w:rsidP="00B143EF">
      <w:r>
        <w:separator/>
      </w:r>
    </w:p>
  </w:endnote>
  <w:endnote w:type="continuationSeparator" w:id="0">
    <w:p w14:paraId="78CE54C8" w14:textId="77777777" w:rsidR="002626F0" w:rsidRDefault="002626F0" w:rsidP="00B14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C609D7" w14:textId="77777777" w:rsidR="002626F0" w:rsidRDefault="002626F0" w:rsidP="00B143EF">
      <w:r>
        <w:separator/>
      </w:r>
    </w:p>
  </w:footnote>
  <w:footnote w:type="continuationSeparator" w:id="0">
    <w:p w14:paraId="63EE44FD" w14:textId="77777777" w:rsidR="002626F0" w:rsidRDefault="002626F0" w:rsidP="00B143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77809"/>
    <w:multiLevelType w:val="hybridMultilevel"/>
    <w:tmpl w:val="41582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1C20AC"/>
    <w:multiLevelType w:val="hybridMultilevel"/>
    <w:tmpl w:val="40A6A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D098B"/>
    <w:multiLevelType w:val="hybridMultilevel"/>
    <w:tmpl w:val="A7FA924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33D77D7"/>
    <w:multiLevelType w:val="hybridMultilevel"/>
    <w:tmpl w:val="9DBA8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587A08"/>
    <w:multiLevelType w:val="hybridMultilevel"/>
    <w:tmpl w:val="DAF219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6F743D"/>
    <w:multiLevelType w:val="hybridMultilevel"/>
    <w:tmpl w:val="0FCE8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3EF"/>
    <w:rsid w:val="00002C04"/>
    <w:rsid w:val="00052781"/>
    <w:rsid w:val="000676BA"/>
    <w:rsid w:val="000D2CF2"/>
    <w:rsid w:val="002626F0"/>
    <w:rsid w:val="003502AE"/>
    <w:rsid w:val="003D1EB0"/>
    <w:rsid w:val="006D1260"/>
    <w:rsid w:val="007F4F3F"/>
    <w:rsid w:val="008C772B"/>
    <w:rsid w:val="00B03369"/>
    <w:rsid w:val="00B143EF"/>
    <w:rsid w:val="00B44AA9"/>
    <w:rsid w:val="00D74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78F241"/>
  <w14:defaultImageDpi w14:val="300"/>
  <w15:docId w15:val="{31DF3ED8-C759-45AC-8D61-6E22870E0C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4AA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4AA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143E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143E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43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3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143EF"/>
    <w:pPr>
      <w:ind w:left="720"/>
      <w:contextualSpacing/>
    </w:pPr>
  </w:style>
  <w:style w:type="character" w:styleId="SubtleEmphasis">
    <w:name w:val="Subtle Emphasis"/>
    <w:basedOn w:val="DefaultParagraphFont"/>
    <w:uiPriority w:val="19"/>
    <w:qFormat/>
    <w:rsid w:val="00B143EF"/>
    <w:rPr>
      <w:i/>
      <w:iCs/>
      <w:color w:val="808080" w:themeColor="text1" w:themeTint="7F"/>
    </w:rPr>
  </w:style>
  <w:style w:type="paragraph" w:styleId="Header">
    <w:name w:val="header"/>
    <w:basedOn w:val="Normal"/>
    <w:link w:val="HeaderChar"/>
    <w:uiPriority w:val="99"/>
    <w:unhideWhenUsed/>
    <w:rsid w:val="00B143E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3EF"/>
  </w:style>
  <w:style w:type="paragraph" w:styleId="Footer">
    <w:name w:val="footer"/>
    <w:basedOn w:val="Normal"/>
    <w:link w:val="FooterChar"/>
    <w:uiPriority w:val="99"/>
    <w:unhideWhenUsed/>
    <w:rsid w:val="00B143E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3EF"/>
  </w:style>
  <w:style w:type="character" w:customStyle="1" w:styleId="Heading2Char">
    <w:name w:val="Heading 2 Char"/>
    <w:basedOn w:val="DefaultParagraphFont"/>
    <w:link w:val="Heading2"/>
    <w:uiPriority w:val="9"/>
    <w:rsid w:val="00B44AA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44AA9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4AA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44AA9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198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3513A1-2E12-4067-9EDC-43A360CE1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Tanya Bautovich</cp:lastModifiedBy>
  <cp:revision>2</cp:revision>
  <dcterms:created xsi:type="dcterms:W3CDTF">2017-09-13T02:24:00Z</dcterms:created>
  <dcterms:modified xsi:type="dcterms:W3CDTF">2017-09-13T02:24:00Z</dcterms:modified>
</cp:coreProperties>
</file>