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DF7E" w14:textId="77777777" w:rsidR="00DA173F" w:rsidRDefault="00DA173F" w:rsidP="00DA173F">
      <w:pPr>
        <w:pStyle w:val="BodyTextIndent"/>
        <w:spacing w:after="60"/>
        <w:ind w:right="-244"/>
        <w:rPr>
          <w:rFonts w:cs="Arial"/>
          <w:color w:val="0066FF"/>
          <w:szCs w:val="22"/>
          <w:lang w:val="en-AU"/>
        </w:rPr>
      </w:pPr>
    </w:p>
    <w:p w14:paraId="27371F0C" w14:textId="1DD230B3" w:rsidR="0029286F" w:rsidRDefault="00F2066B" w:rsidP="00974038">
      <w:pPr>
        <w:numPr>
          <w:ilvl w:val="0"/>
          <w:numId w:val="5"/>
        </w:numPr>
        <w:rPr>
          <w:rFonts w:cs="Arial"/>
          <w:b/>
          <w:bCs/>
          <w:caps/>
          <w:szCs w:val="22"/>
        </w:rPr>
      </w:pPr>
      <w:r w:rsidRPr="00F2066B">
        <w:rPr>
          <w:rFonts w:cs="Arial"/>
          <w:b/>
          <w:bCs/>
          <w:caps/>
          <w:szCs w:val="22"/>
        </w:rPr>
        <w:t xml:space="preserve">Management of </w:t>
      </w:r>
      <w:r>
        <w:rPr>
          <w:rFonts w:cs="Arial"/>
          <w:b/>
          <w:bCs/>
          <w:caps/>
          <w:szCs w:val="22"/>
        </w:rPr>
        <w:t xml:space="preserve">PRIMARY </w:t>
      </w:r>
      <w:r w:rsidRPr="00F2066B">
        <w:rPr>
          <w:rFonts w:cs="Arial"/>
          <w:b/>
          <w:bCs/>
          <w:caps/>
          <w:szCs w:val="22"/>
        </w:rPr>
        <w:t xml:space="preserve">Spontaneous Pneumothorax </w:t>
      </w:r>
      <w:r>
        <w:rPr>
          <w:rFonts w:cs="Arial"/>
          <w:b/>
          <w:bCs/>
          <w:caps/>
          <w:szCs w:val="22"/>
        </w:rPr>
        <w:t>PRESENTING TO</w:t>
      </w:r>
      <w:r w:rsidRPr="00F2066B">
        <w:rPr>
          <w:rFonts w:cs="Arial"/>
          <w:b/>
          <w:bCs/>
          <w:caps/>
          <w:szCs w:val="22"/>
        </w:rPr>
        <w:t xml:space="preserve"> Sutherland Emergency Department</w:t>
      </w:r>
    </w:p>
    <w:p w14:paraId="23A30125" w14:textId="77777777" w:rsidR="00F2066B" w:rsidRPr="00F2066B" w:rsidRDefault="00F2066B" w:rsidP="00F2066B">
      <w:pPr>
        <w:rPr>
          <w:rFonts w:cs="Arial"/>
          <w:b/>
          <w:bCs/>
          <w:caps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7357"/>
      </w:tblGrid>
      <w:tr w:rsidR="005503BB" w:rsidRPr="00300918" w14:paraId="7942BCB6" w14:textId="77777777" w:rsidTr="008D3382">
        <w:trPr>
          <w:trHeight w:val="377"/>
        </w:trPr>
        <w:tc>
          <w:tcPr>
            <w:tcW w:w="2282" w:type="dxa"/>
          </w:tcPr>
          <w:p w14:paraId="08AECDEE" w14:textId="77777777" w:rsidR="005503BB" w:rsidRPr="00300918" w:rsidRDefault="005503BB" w:rsidP="00974038">
            <w:pPr>
              <w:rPr>
                <w:rFonts w:cs="Arial"/>
                <w:b/>
                <w:szCs w:val="22"/>
              </w:rPr>
            </w:pPr>
            <w:r w:rsidRPr="00300918">
              <w:rPr>
                <w:rFonts w:cs="Arial"/>
                <w:b/>
                <w:szCs w:val="22"/>
              </w:rPr>
              <w:t xml:space="preserve">1. </w:t>
            </w:r>
            <w:r w:rsidR="003C14C5" w:rsidRPr="00300918">
              <w:rPr>
                <w:rFonts w:cs="Arial"/>
                <w:b/>
                <w:szCs w:val="22"/>
              </w:rPr>
              <w:t>Purpose</w:t>
            </w:r>
          </w:p>
        </w:tc>
        <w:tc>
          <w:tcPr>
            <w:tcW w:w="7357" w:type="dxa"/>
          </w:tcPr>
          <w:p w14:paraId="351ECA46" w14:textId="274C57CC" w:rsidR="005503BB" w:rsidRPr="00300918" w:rsidRDefault="00DA28DF" w:rsidP="0074605E">
            <w:pPr>
              <w:rPr>
                <w:rFonts w:cs="Arial"/>
                <w:szCs w:val="22"/>
              </w:rPr>
            </w:pPr>
            <w:r w:rsidRPr="00DA28DF">
              <w:rPr>
                <w:rFonts w:cs="Arial"/>
                <w:szCs w:val="22"/>
                <w:lang w:eastAsia="x-none"/>
              </w:rPr>
              <w:t xml:space="preserve">To </w:t>
            </w:r>
            <w:r w:rsidR="001940E9">
              <w:rPr>
                <w:rFonts w:cs="Arial"/>
                <w:szCs w:val="22"/>
                <w:lang w:eastAsia="x-none"/>
              </w:rPr>
              <w:t>g</w:t>
            </w:r>
            <w:r w:rsidRPr="00DA28DF">
              <w:rPr>
                <w:rFonts w:cs="Arial"/>
                <w:szCs w:val="22"/>
                <w:lang w:eastAsia="x-none"/>
              </w:rPr>
              <w:t xml:space="preserve">uide </w:t>
            </w:r>
            <w:r w:rsidR="001940E9">
              <w:rPr>
                <w:rFonts w:cs="Arial"/>
                <w:szCs w:val="22"/>
                <w:lang w:eastAsia="x-none"/>
              </w:rPr>
              <w:t>the m</w:t>
            </w:r>
            <w:r w:rsidRPr="00DA28DF">
              <w:rPr>
                <w:rFonts w:cs="Arial"/>
                <w:szCs w:val="22"/>
                <w:lang w:eastAsia="x-none"/>
              </w:rPr>
              <w:t xml:space="preserve">anagement of </w:t>
            </w:r>
            <w:r w:rsidR="001940E9">
              <w:rPr>
                <w:rFonts w:cs="Arial"/>
                <w:szCs w:val="22"/>
                <w:lang w:eastAsia="x-none"/>
              </w:rPr>
              <w:t>p</w:t>
            </w:r>
            <w:r w:rsidRPr="00DA28DF">
              <w:rPr>
                <w:rFonts w:cs="Arial"/>
                <w:szCs w:val="22"/>
                <w:lang w:eastAsia="x-none"/>
              </w:rPr>
              <w:t xml:space="preserve">rimary </w:t>
            </w:r>
            <w:r w:rsidR="001940E9">
              <w:rPr>
                <w:rFonts w:cs="Arial"/>
                <w:szCs w:val="22"/>
                <w:lang w:eastAsia="x-none"/>
              </w:rPr>
              <w:t>s</w:t>
            </w:r>
            <w:r w:rsidRPr="00DA28DF">
              <w:rPr>
                <w:rFonts w:cs="Arial"/>
                <w:szCs w:val="22"/>
                <w:lang w:eastAsia="x-none"/>
              </w:rPr>
              <w:t xml:space="preserve">pontaneous </w:t>
            </w:r>
            <w:r w:rsidR="001940E9">
              <w:rPr>
                <w:rFonts w:cs="Arial"/>
                <w:szCs w:val="22"/>
                <w:lang w:eastAsia="x-none"/>
              </w:rPr>
              <w:t>p</w:t>
            </w:r>
            <w:r w:rsidRPr="00DA28DF">
              <w:rPr>
                <w:rFonts w:cs="Arial"/>
                <w:szCs w:val="22"/>
                <w:lang w:eastAsia="x-none"/>
              </w:rPr>
              <w:t>neumothorax presenting to Sutherland Emergency Department</w:t>
            </w:r>
          </w:p>
        </w:tc>
      </w:tr>
      <w:tr w:rsidR="005503BB" w:rsidRPr="00300918" w14:paraId="5CCE2B46" w14:textId="77777777" w:rsidTr="008D3382">
        <w:trPr>
          <w:trHeight w:val="283"/>
        </w:trPr>
        <w:tc>
          <w:tcPr>
            <w:tcW w:w="2282" w:type="dxa"/>
          </w:tcPr>
          <w:p w14:paraId="104E97CB" w14:textId="77777777" w:rsidR="005503BB" w:rsidRPr="00300918" w:rsidRDefault="005503BB" w:rsidP="00974038">
            <w:pPr>
              <w:rPr>
                <w:rFonts w:cs="Arial"/>
                <w:b/>
                <w:szCs w:val="22"/>
              </w:rPr>
            </w:pPr>
            <w:r w:rsidRPr="00300918">
              <w:rPr>
                <w:rFonts w:cs="Arial"/>
                <w:b/>
                <w:szCs w:val="22"/>
              </w:rPr>
              <w:t>2. Risk Rating</w:t>
            </w:r>
          </w:p>
        </w:tc>
        <w:tc>
          <w:tcPr>
            <w:tcW w:w="7357" w:type="dxa"/>
          </w:tcPr>
          <w:p w14:paraId="3221FC05" w14:textId="4D376BAD" w:rsidR="005503BB" w:rsidRPr="00300918" w:rsidRDefault="009A0FA6" w:rsidP="00974038">
            <w:pPr>
              <w:rPr>
                <w:rFonts w:cs="Arial"/>
                <w:color w:val="3366FF"/>
                <w:szCs w:val="22"/>
              </w:rPr>
            </w:pPr>
            <w:r w:rsidRPr="009A0FA6">
              <w:rPr>
                <w:rFonts w:cs="Arial"/>
                <w:szCs w:val="22"/>
              </w:rPr>
              <w:t>Medium</w:t>
            </w:r>
          </w:p>
        </w:tc>
      </w:tr>
      <w:tr w:rsidR="003C14C5" w:rsidRPr="00300918" w14:paraId="2DD26EF3" w14:textId="77777777" w:rsidTr="008D3382">
        <w:trPr>
          <w:trHeight w:val="476"/>
        </w:trPr>
        <w:tc>
          <w:tcPr>
            <w:tcW w:w="2282" w:type="dxa"/>
          </w:tcPr>
          <w:p w14:paraId="6C5F0600" w14:textId="77777777" w:rsidR="003C14C5" w:rsidRPr="00300918" w:rsidRDefault="003C14C5" w:rsidP="00974038">
            <w:pPr>
              <w:rPr>
                <w:rFonts w:cs="Arial"/>
                <w:b/>
                <w:szCs w:val="22"/>
              </w:rPr>
            </w:pPr>
            <w:r w:rsidRPr="00300918">
              <w:rPr>
                <w:rFonts w:cs="Arial"/>
                <w:b/>
                <w:szCs w:val="22"/>
              </w:rPr>
              <w:t xml:space="preserve">3. National Standards </w:t>
            </w:r>
          </w:p>
        </w:tc>
        <w:tc>
          <w:tcPr>
            <w:tcW w:w="7357" w:type="dxa"/>
          </w:tcPr>
          <w:p w14:paraId="0FE6BD88" w14:textId="622AA4DC" w:rsidR="00DF03A8" w:rsidRPr="009A0FA6" w:rsidRDefault="00794493" w:rsidP="00974038">
            <w:pPr>
              <w:rPr>
                <w:rFonts w:cs="Arial"/>
                <w:szCs w:val="22"/>
              </w:rPr>
            </w:pPr>
            <w:r w:rsidRPr="009A0FA6">
              <w:rPr>
                <w:rFonts w:cs="Arial"/>
                <w:szCs w:val="22"/>
              </w:rPr>
              <w:t>1 – Clinical Governance</w:t>
            </w:r>
            <w:r w:rsidR="00DF03A8" w:rsidRPr="009A0FA6">
              <w:rPr>
                <w:rFonts w:cs="Arial"/>
                <w:szCs w:val="22"/>
              </w:rPr>
              <w:t xml:space="preserve"> </w:t>
            </w:r>
          </w:p>
          <w:p w14:paraId="4E1585EB" w14:textId="77777777" w:rsidR="00794493" w:rsidRPr="009A0FA6" w:rsidRDefault="00794493" w:rsidP="00974038">
            <w:pPr>
              <w:rPr>
                <w:rFonts w:cs="Arial"/>
                <w:szCs w:val="22"/>
              </w:rPr>
            </w:pPr>
            <w:r w:rsidRPr="009A0FA6">
              <w:rPr>
                <w:rFonts w:cs="Arial"/>
                <w:szCs w:val="22"/>
              </w:rPr>
              <w:t>5 – Comprehensive Care</w:t>
            </w:r>
          </w:p>
          <w:p w14:paraId="2770CF6E" w14:textId="77777777" w:rsidR="00794493" w:rsidRPr="009A0FA6" w:rsidRDefault="00794493" w:rsidP="00974038">
            <w:pPr>
              <w:rPr>
                <w:rFonts w:cs="Arial"/>
                <w:szCs w:val="22"/>
              </w:rPr>
            </w:pPr>
            <w:r w:rsidRPr="009A0FA6">
              <w:rPr>
                <w:rFonts w:cs="Arial"/>
                <w:szCs w:val="22"/>
              </w:rPr>
              <w:t>8 – Recognising and Responding to Acute Deterioration</w:t>
            </w:r>
          </w:p>
        </w:tc>
      </w:tr>
      <w:tr w:rsidR="005503BB" w:rsidRPr="00300918" w14:paraId="2148F9A7" w14:textId="77777777" w:rsidTr="008D3382">
        <w:trPr>
          <w:trHeight w:val="555"/>
        </w:trPr>
        <w:tc>
          <w:tcPr>
            <w:tcW w:w="2282" w:type="dxa"/>
          </w:tcPr>
          <w:p w14:paraId="7CF73EC2" w14:textId="77777777" w:rsidR="005503BB" w:rsidRPr="00300918" w:rsidRDefault="003C14C5" w:rsidP="00974038">
            <w:pPr>
              <w:rPr>
                <w:rFonts w:cs="Arial"/>
                <w:b/>
                <w:szCs w:val="22"/>
              </w:rPr>
            </w:pPr>
            <w:r w:rsidRPr="00300918">
              <w:rPr>
                <w:rFonts w:cs="Arial"/>
                <w:b/>
                <w:szCs w:val="22"/>
              </w:rPr>
              <w:t>4</w:t>
            </w:r>
            <w:r w:rsidR="005503BB" w:rsidRPr="00300918">
              <w:rPr>
                <w:rFonts w:cs="Arial"/>
                <w:b/>
                <w:szCs w:val="22"/>
              </w:rPr>
              <w:t xml:space="preserve">. Employees it Applies to </w:t>
            </w:r>
          </w:p>
        </w:tc>
        <w:tc>
          <w:tcPr>
            <w:tcW w:w="7357" w:type="dxa"/>
          </w:tcPr>
          <w:p w14:paraId="342F9A8E" w14:textId="4821B127" w:rsidR="005503BB" w:rsidRPr="00300918" w:rsidRDefault="00AC04E1" w:rsidP="00974038">
            <w:pPr>
              <w:rPr>
                <w:rFonts w:cs="Arial"/>
                <w:color w:val="0066FF"/>
                <w:szCs w:val="22"/>
              </w:rPr>
            </w:pPr>
            <w:r>
              <w:t>Emergency Department Medical Officers, Respiratory Physicians, Registered Nurses</w:t>
            </w:r>
          </w:p>
        </w:tc>
      </w:tr>
    </w:tbl>
    <w:p w14:paraId="079E3AC3" w14:textId="77777777" w:rsidR="005503BB" w:rsidRPr="00300918" w:rsidRDefault="005503BB" w:rsidP="00974038">
      <w:pPr>
        <w:rPr>
          <w:rFonts w:cs="Arial"/>
        </w:rPr>
      </w:pPr>
    </w:p>
    <w:p w14:paraId="4412FEFA" w14:textId="7485F19E" w:rsidR="005503BB" w:rsidRDefault="003C14C5" w:rsidP="00AC04E1">
      <w:pPr>
        <w:pStyle w:val="Heading2"/>
        <w:rPr>
          <w:b w:val="0"/>
          <w:color w:val="0066FF"/>
        </w:rPr>
      </w:pPr>
      <w:bookmarkStart w:id="0" w:name="_Toc66279736"/>
      <w:r w:rsidRPr="00300918">
        <w:t>5</w:t>
      </w:r>
      <w:r w:rsidR="005503BB" w:rsidRPr="00300918">
        <w:t xml:space="preserve">. </w:t>
      </w:r>
      <w:r w:rsidR="0029286F" w:rsidRPr="00675D53">
        <w:t xml:space="preserve">PROCESS </w:t>
      </w:r>
      <w:bookmarkEnd w:id="0"/>
    </w:p>
    <w:p w14:paraId="36641867" w14:textId="6F71C22F" w:rsidR="00AC04E1" w:rsidRDefault="00AC04E1" w:rsidP="00AC04E1">
      <w:pPr>
        <w:rPr>
          <w:lang w:eastAsia="en-US"/>
        </w:rPr>
      </w:pPr>
    </w:p>
    <w:p w14:paraId="25B224C9" w14:textId="5EBF252C" w:rsidR="00AC04E1" w:rsidRDefault="00AC04E1" w:rsidP="00AC04E1">
      <w:r>
        <w:t xml:space="preserve">Conservative management of primary spontaneous pneumothorax has been shown to be non-inferior to </w:t>
      </w:r>
      <w:r w:rsidR="009D4911">
        <w:t xml:space="preserve">pleural </w:t>
      </w:r>
      <w:r>
        <w:t xml:space="preserve">drain insertion when assessed by lung re-expansion at </w:t>
      </w:r>
      <w:r w:rsidR="003548F7">
        <w:t>eight</w:t>
      </w:r>
      <w:r>
        <w:t xml:space="preserve"> weeks </w:t>
      </w:r>
      <w:proofErr w:type="gramStart"/>
      <w:r w:rsidRPr="008B079B">
        <w:rPr>
          <w:vertAlign w:val="superscript"/>
        </w:rPr>
        <w:t>1</w:t>
      </w:r>
      <w:proofErr w:type="gramEnd"/>
    </w:p>
    <w:p w14:paraId="3E39FD46" w14:textId="6760E99A" w:rsidR="00AC04E1" w:rsidRDefault="00AC04E1" w:rsidP="00AC04E1">
      <w:r>
        <w:t>Other benefits to conservative management include lower rates of recurrence of pneumothorax within 12 months, lower rates of adverse events, shorter length of hospital stay and less days off work.</w:t>
      </w:r>
    </w:p>
    <w:p w14:paraId="51B6407E" w14:textId="520BB99C" w:rsidR="00AC04E1" w:rsidRDefault="00AC04E1" w:rsidP="00AC04E1">
      <w:r>
        <w:t xml:space="preserve">It is important to note in this study 15% of patients treated conservatively required insertion of a </w:t>
      </w:r>
      <w:r w:rsidR="009D4911">
        <w:t>pleural</w:t>
      </w:r>
      <w:r>
        <w:t xml:space="preserve"> drain and so adequate follow up is essential to this treatment strategy.</w:t>
      </w:r>
    </w:p>
    <w:p w14:paraId="57D50859" w14:textId="09CE97B6" w:rsidR="00AC04E1" w:rsidRDefault="00AC04E1" w:rsidP="00AC04E1">
      <w:r>
        <w:t>The purpose of this CBR is to provide a framework for the initial ED assessment, referral and ongoing management of primary spontaneous pneumothorax presenting to Sutherland ED.</w:t>
      </w:r>
    </w:p>
    <w:p w14:paraId="7A33863F" w14:textId="77777777" w:rsidR="00AC04E1" w:rsidRPr="00C364F6" w:rsidRDefault="00AC04E1" w:rsidP="00AC04E1">
      <w:pPr>
        <w:rPr>
          <w:b/>
          <w:bCs/>
          <w:lang w:eastAsia="en-US"/>
        </w:rPr>
      </w:pPr>
    </w:p>
    <w:p w14:paraId="26F86FE1" w14:textId="3BCE6128" w:rsidR="00AC04E1" w:rsidRDefault="00C364F6" w:rsidP="00AC04E1">
      <w:pPr>
        <w:rPr>
          <w:b/>
          <w:bCs/>
          <w:lang w:eastAsia="en-US"/>
        </w:rPr>
      </w:pPr>
      <w:r w:rsidRPr="00C364F6">
        <w:rPr>
          <w:b/>
          <w:bCs/>
          <w:lang w:eastAsia="en-US"/>
        </w:rPr>
        <w:t>5.1 ASSESSMENT BY EMERGENCY DEPARTMENT MEDICAL STAFF</w:t>
      </w:r>
    </w:p>
    <w:p w14:paraId="77721AB0" w14:textId="6F76C600" w:rsidR="00C364F6" w:rsidRDefault="00C364F6" w:rsidP="00AC04E1">
      <w:pPr>
        <w:rPr>
          <w:b/>
          <w:bCs/>
          <w:lang w:eastAsia="en-US"/>
        </w:rPr>
      </w:pPr>
    </w:p>
    <w:p w14:paraId="4793FCCC" w14:textId="33444360" w:rsidR="00C364F6" w:rsidRDefault="00C364F6" w:rsidP="00C364F6">
      <w:r>
        <w:t xml:space="preserve">For patients assessed in TSH ED with confirmed pneumothorax </w:t>
      </w:r>
      <w:r w:rsidR="003548F7">
        <w:t>a senior Emergency doctor should make a clinical assessment</w:t>
      </w:r>
      <w:r>
        <w:t xml:space="preserve"> to determine </w:t>
      </w:r>
      <w:r w:rsidR="003548F7">
        <w:t xml:space="preserve">the </w:t>
      </w:r>
      <w:r>
        <w:t>stability of the patient.</w:t>
      </w:r>
    </w:p>
    <w:p w14:paraId="5FFA2AAA" w14:textId="4E5413CC" w:rsidR="00C83EA5" w:rsidRDefault="00C364F6" w:rsidP="00C364F6">
      <w:r>
        <w:t xml:space="preserve">Any patient who is demonstrating signs of clinical tension pneumothorax with haemodynamic compromise (SBP &lt; 90mmHg and/or MAP &lt; 65mmHg) should </w:t>
      </w:r>
      <w:proofErr w:type="gramStart"/>
      <w:r>
        <w:t>be managed</w:t>
      </w:r>
      <w:proofErr w:type="gramEnd"/>
      <w:r>
        <w:t xml:space="preserve"> in the ED resuscitation bay and have a </w:t>
      </w:r>
      <w:r w:rsidR="00F275D9">
        <w:t>pleural drain</w:t>
      </w:r>
      <w:r>
        <w:t xml:space="preserve"> inserted immediately by a senior Emergency doctor</w:t>
      </w:r>
    </w:p>
    <w:p w14:paraId="0CA64B0C" w14:textId="77777777" w:rsidR="00C83EA5" w:rsidRDefault="00C83EA5" w:rsidP="00C364F6"/>
    <w:p w14:paraId="415D10D8" w14:textId="77777777" w:rsidR="00C83EA5" w:rsidRDefault="00C83EA5" w:rsidP="00C364F6"/>
    <w:p w14:paraId="254AAC4F" w14:textId="77777777" w:rsidR="00C83EA5" w:rsidRDefault="00C83EA5" w:rsidP="00C364F6"/>
    <w:p w14:paraId="59FF0DBA" w14:textId="1D287959" w:rsidR="00C364F6" w:rsidRDefault="00C364F6" w:rsidP="00C364F6">
      <w:pPr>
        <w:rPr>
          <w:b/>
          <w:bCs/>
        </w:rPr>
      </w:pPr>
      <w:r w:rsidRPr="00C364F6">
        <w:rPr>
          <w:b/>
          <w:bCs/>
        </w:rPr>
        <w:t>5.2 SUITABILITY FOR CONSERVATIVE MANAGEMENT</w:t>
      </w:r>
    </w:p>
    <w:p w14:paraId="34C41330" w14:textId="6120F9B1" w:rsidR="002E4724" w:rsidRDefault="002E4724" w:rsidP="00C364F6">
      <w:pPr>
        <w:rPr>
          <w:b/>
          <w:bCs/>
        </w:rPr>
      </w:pPr>
    </w:p>
    <w:p w14:paraId="36C524CC" w14:textId="77777777" w:rsidR="002E4724" w:rsidRDefault="002E4724" w:rsidP="002E4724">
      <w:r>
        <w:t xml:space="preserve">The size of the pneumothorax does not correlate well with clinical symptoms but should </w:t>
      </w:r>
      <w:proofErr w:type="gramStart"/>
      <w:r>
        <w:t>be estimated</w:t>
      </w:r>
      <w:proofErr w:type="gramEnd"/>
      <w:r>
        <w:t xml:space="preserve"> using the Collins method (below) to allow comparison at subsequent follow up appointments</w:t>
      </w:r>
    </w:p>
    <w:p w14:paraId="44217310" w14:textId="77777777" w:rsidR="002E4724" w:rsidRDefault="002E4724" w:rsidP="002E4724">
      <w:pPr>
        <w:shd w:val="clear" w:color="auto" w:fill="FFFFFF"/>
        <w:spacing w:after="90"/>
        <w:ind w:left="660"/>
      </w:pPr>
    </w:p>
    <w:p w14:paraId="45201418" w14:textId="77777777" w:rsidR="00FC0BA0" w:rsidRDefault="00FC0BA0" w:rsidP="002E4724">
      <w:pPr>
        <w:shd w:val="clear" w:color="auto" w:fill="FFFFFF"/>
        <w:spacing w:after="90"/>
        <w:ind w:left="660"/>
        <w:rPr>
          <w:rFonts w:cs="Arial"/>
          <w:color w:val="3D3D3D"/>
          <w:szCs w:val="22"/>
        </w:rPr>
      </w:pPr>
    </w:p>
    <w:p w14:paraId="445FA213" w14:textId="77777777" w:rsidR="00FC0BA0" w:rsidRDefault="00FC0BA0" w:rsidP="002E4724">
      <w:pPr>
        <w:shd w:val="clear" w:color="auto" w:fill="FFFFFF"/>
        <w:spacing w:after="90"/>
        <w:ind w:left="660"/>
        <w:rPr>
          <w:rFonts w:cs="Arial"/>
          <w:color w:val="3D3D3D"/>
          <w:szCs w:val="22"/>
        </w:rPr>
      </w:pPr>
    </w:p>
    <w:p w14:paraId="5247F531" w14:textId="7AAFC684" w:rsidR="002E4724" w:rsidRDefault="002E4724" w:rsidP="002E4724">
      <w:pPr>
        <w:shd w:val="clear" w:color="auto" w:fill="FFFFFF"/>
        <w:spacing w:after="90"/>
        <w:ind w:left="660"/>
        <w:rPr>
          <w:rFonts w:cs="Arial"/>
          <w:color w:val="3D3D3D"/>
          <w:szCs w:val="22"/>
        </w:rPr>
      </w:pPr>
      <w:r>
        <w:rPr>
          <w:rFonts w:cs="Arial"/>
          <w:color w:val="3D3D3D"/>
          <w:szCs w:val="22"/>
        </w:rPr>
        <w:lastRenderedPageBreak/>
        <w:t>Percentage Pneumothorax Volume</w:t>
      </w:r>
      <w:r w:rsidRPr="00C83EA5">
        <w:rPr>
          <w:rFonts w:cs="Arial"/>
          <w:color w:val="3D3D3D"/>
          <w:szCs w:val="22"/>
        </w:rPr>
        <w:t xml:space="preserve"> = 4.2 + 4.7 (A + B + C) </w:t>
      </w:r>
    </w:p>
    <w:p w14:paraId="2D964479" w14:textId="77777777" w:rsidR="002E4724" w:rsidRPr="00C83EA5" w:rsidRDefault="002E4724" w:rsidP="002E4724">
      <w:pPr>
        <w:shd w:val="clear" w:color="auto" w:fill="FFFFFF"/>
        <w:spacing w:after="90"/>
        <w:ind w:left="660"/>
        <w:rPr>
          <w:rFonts w:cs="Arial"/>
          <w:color w:val="3D3D3D"/>
          <w:szCs w:val="22"/>
        </w:rPr>
      </w:pPr>
    </w:p>
    <w:p w14:paraId="78CDB078" w14:textId="77777777" w:rsidR="002E4724" w:rsidRPr="00C83EA5" w:rsidRDefault="002E4724" w:rsidP="002E4724">
      <w:pPr>
        <w:shd w:val="clear" w:color="auto" w:fill="FFFFFF"/>
        <w:spacing w:after="90"/>
        <w:ind w:left="660"/>
        <w:rPr>
          <w:rFonts w:cs="Arial"/>
          <w:color w:val="3D3D3D"/>
          <w:szCs w:val="22"/>
        </w:rPr>
      </w:pPr>
      <w:r w:rsidRPr="00C83EA5">
        <w:rPr>
          <w:rFonts w:cs="Arial"/>
          <w:color w:val="3D3D3D"/>
          <w:szCs w:val="22"/>
        </w:rPr>
        <w:t>A is the maximum apical interpleural distance</w:t>
      </w:r>
    </w:p>
    <w:p w14:paraId="05F7D59F" w14:textId="77777777" w:rsidR="002E4724" w:rsidRPr="00C83EA5" w:rsidRDefault="002E4724" w:rsidP="002E4724">
      <w:pPr>
        <w:shd w:val="clear" w:color="auto" w:fill="FFFFFF"/>
        <w:spacing w:after="90"/>
        <w:ind w:left="660"/>
        <w:rPr>
          <w:rFonts w:cs="Arial"/>
          <w:color w:val="3D3D3D"/>
          <w:szCs w:val="22"/>
        </w:rPr>
      </w:pPr>
      <w:r w:rsidRPr="00C83EA5">
        <w:rPr>
          <w:rFonts w:cs="Arial"/>
          <w:color w:val="3D3D3D"/>
          <w:szCs w:val="22"/>
        </w:rPr>
        <w:t>B is the interpleural distance at midpoint of upper half of lung</w:t>
      </w:r>
    </w:p>
    <w:p w14:paraId="0FCAE924" w14:textId="77777777" w:rsidR="002E4724" w:rsidRPr="00C83EA5" w:rsidRDefault="002E4724" w:rsidP="002E4724">
      <w:pPr>
        <w:shd w:val="clear" w:color="auto" w:fill="FFFFFF"/>
        <w:spacing w:after="90"/>
        <w:ind w:left="660"/>
        <w:rPr>
          <w:rFonts w:cs="Arial"/>
          <w:color w:val="3D3D3D"/>
          <w:szCs w:val="22"/>
        </w:rPr>
      </w:pPr>
      <w:r w:rsidRPr="00C83EA5">
        <w:rPr>
          <w:rFonts w:cs="Arial"/>
          <w:color w:val="3D3D3D"/>
          <w:szCs w:val="22"/>
        </w:rPr>
        <w:t>C is the interpleural distance at midpoint of lower half of lung</w:t>
      </w:r>
    </w:p>
    <w:p w14:paraId="765EBC47" w14:textId="77777777" w:rsidR="002E4724" w:rsidRDefault="002E4724" w:rsidP="002E4724"/>
    <w:p w14:paraId="2B69E475" w14:textId="77777777" w:rsidR="002E4724" w:rsidRDefault="002E4724" w:rsidP="002E4724">
      <w:r>
        <w:rPr>
          <w:noProof/>
        </w:rPr>
        <w:drawing>
          <wp:inline distT="0" distB="0" distL="0" distR="0" wp14:anchorId="56196BCC" wp14:editId="28494E3F">
            <wp:extent cx="5731510" cy="42316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AF40A" w14:textId="67310A0F" w:rsidR="00C364F6" w:rsidRDefault="00C364F6" w:rsidP="00C364F6">
      <w:pPr>
        <w:rPr>
          <w:b/>
          <w:bCs/>
        </w:rPr>
      </w:pPr>
    </w:p>
    <w:p w14:paraId="4913365A" w14:textId="7566B7D0" w:rsidR="00C83EA5" w:rsidRDefault="008474DE" w:rsidP="00C364F6">
      <w:pPr>
        <w:rPr>
          <w:rStyle w:val="Strong"/>
          <w:rFonts w:cs="Arial"/>
          <w:b w:val="0"/>
          <w:bCs w:val="0"/>
          <w:color w:val="333333"/>
          <w:szCs w:val="22"/>
          <w:shd w:val="clear" w:color="auto" w:fill="FFFFFF"/>
        </w:rPr>
      </w:pPr>
      <w:r w:rsidRPr="008474DE">
        <w:rPr>
          <w:rStyle w:val="Strong"/>
          <w:rFonts w:cs="Arial"/>
          <w:b w:val="0"/>
          <w:bCs w:val="0"/>
          <w:color w:val="333333"/>
          <w:szCs w:val="22"/>
          <w:shd w:val="clear" w:color="auto" w:fill="FFFFFF"/>
        </w:rPr>
        <w:t>In defining a management strategy, the size of a pneumothorax is less important than the degree of clinical compromise</w:t>
      </w:r>
      <w:r w:rsidR="002E4724">
        <w:rPr>
          <w:rStyle w:val="Strong"/>
          <w:rFonts w:cs="Arial"/>
          <w:b w:val="0"/>
          <w:bCs w:val="0"/>
          <w:color w:val="333333"/>
          <w:szCs w:val="22"/>
          <w:shd w:val="clear" w:color="auto" w:fill="FFFFFF"/>
        </w:rPr>
        <w:t xml:space="preserve"> </w:t>
      </w:r>
      <w:proofErr w:type="gramStart"/>
      <w:r w:rsidR="002E4724" w:rsidRPr="002E4724">
        <w:rPr>
          <w:rStyle w:val="Strong"/>
          <w:rFonts w:cs="Arial"/>
          <w:b w:val="0"/>
          <w:bCs w:val="0"/>
          <w:color w:val="333333"/>
          <w:szCs w:val="22"/>
          <w:shd w:val="clear" w:color="auto" w:fill="FFFFFF"/>
          <w:vertAlign w:val="superscript"/>
        </w:rPr>
        <w:t>2</w:t>
      </w:r>
      <w:proofErr w:type="gramEnd"/>
      <w:r>
        <w:rPr>
          <w:rStyle w:val="Strong"/>
          <w:rFonts w:cs="Arial"/>
          <w:b w:val="0"/>
          <w:bCs w:val="0"/>
          <w:color w:val="333333"/>
          <w:szCs w:val="22"/>
          <w:shd w:val="clear" w:color="auto" w:fill="FFFFFF"/>
        </w:rPr>
        <w:t xml:space="preserve">. To </w:t>
      </w:r>
      <w:proofErr w:type="gramStart"/>
      <w:r>
        <w:rPr>
          <w:rStyle w:val="Strong"/>
          <w:rFonts w:cs="Arial"/>
          <w:b w:val="0"/>
          <w:bCs w:val="0"/>
          <w:color w:val="333333"/>
          <w:szCs w:val="22"/>
          <w:shd w:val="clear" w:color="auto" w:fill="FFFFFF"/>
        </w:rPr>
        <w:t>be considered</w:t>
      </w:r>
      <w:proofErr w:type="gramEnd"/>
      <w:r>
        <w:rPr>
          <w:rStyle w:val="Strong"/>
          <w:rFonts w:cs="Arial"/>
          <w:b w:val="0"/>
          <w:bCs w:val="0"/>
          <w:color w:val="333333"/>
          <w:szCs w:val="22"/>
          <w:shd w:val="clear" w:color="auto" w:fill="FFFFFF"/>
        </w:rPr>
        <w:t xml:space="preserve"> suitable for conservative management a patient must fulfil the following criteria</w:t>
      </w:r>
      <w:r w:rsidR="00B31F3D">
        <w:rPr>
          <w:rStyle w:val="Strong"/>
          <w:rFonts w:cs="Arial"/>
          <w:b w:val="0"/>
          <w:bCs w:val="0"/>
          <w:color w:val="333333"/>
          <w:szCs w:val="22"/>
          <w:shd w:val="clear" w:color="auto" w:fill="FFFFFF"/>
        </w:rPr>
        <w:t xml:space="preserve"> at the initial assessment</w:t>
      </w:r>
    </w:p>
    <w:p w14:paraId="7101E34B" w14:textId="23D990F0" w:rsidR="00F275D9" w:rsidRPr="00F275D9" w:rsidRDefault="00F275D9" w:rsidP="00F275D9">
      <w:pPr>
        <w:shd w:val="clear" w:color="auto" w:fill="FFFFFF"/>
        <w:spacing w:before="100" w:beforeAutospacing="1" w:after="100" w:afterAutospacing="1" w:line="336" w:lineRule="atLeast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Inclusion Criteria</w:t>
      </w:r>
    </w:p>
    <w:p w14:paraId="3C9AB49C" w14:textId="1FCC05A9" w:rsidR="00B31F3D" w:rsidRDefault="00B31F3D" w:rsidP="00B31F3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Age 14-50 years old</w:t>
      </w:r>
    </w:p>
    <w:p w14:paraId="4F33C71A" w14:textId="1DCBECC9" w:rsidR="00B31F3D" w:rsidRPr="008474DE" w:rsidRDefault="00F275D9" w:rsidP="00B31F3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Pain</w:t>
      </w:r>
      <w:r w:rsidR="00B31F3D" w:rsidRPr="008474DE">
        <w:rPr>
          <w:rFonts w:cs="Arial"/>
          <w:color w:val="000000"/>
          <w:szCs w:val="22"/>
        </w:rPr>
        <w:t xml:space="preserve"> </w:t>
      </w:r>
      <w:r w:rsidR="003548F7" w:rsidRPr="008474DE">
        <w:rPr>
          <w:rFonts w:cs="Arial"/>
          <w:color w:val="000000"/>
          <w:szCs w:val="22"/>
        </w:rPr>
        <w:t>controlled</w:t>
      </w:r>
      <w:r w:rsidR="00B31F3D" w:rsidRPr="008474DE">
        <w:rPr>
          <w:rFonts w:cs="Arial"/>
          <w:color w:val="000000"/>
          <w:szCs w:val="22"/>
        </w:rPr>
        <w:t xml:space="preserve"> with </w:t>
      </w:r>
      <w:r w:rsidR="00B31F3D">
        <w:rPr>
          <w:rFonts w:cs="Arial"/>
          <w:color w:val="000000"/>
          <w:szCs w:val="22"/>
        </w:rPr>
        <w:t xml:space="preserve">oral </w:t>
      </w:r>
      <w:r w:rsidR="00B31F3D" w:rsidRPr="008474DE">
        <w:rPr>
          <w:rFonts w:cs="Arial"/>
          <w:color w:val="000000"/>
          <w:szCs w:val="22"/>
        </w:rPr>
        <w:t>analgesia</w:t>
      </w:r>
    </w:p>
    <w:p w14:paraId="106A1CCB" w14:textId="0215B030" w:rsidR="00B31F3D" w:rsidRDefault="00B31F3D" w:rsidP="00B31F3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cs="Arial"/>
          <w:color w:val="000000"/>
          <w:szCs w:val="22"/>
        </w:rPr>
      </w:pPr>
      <w:r w:rsidRPr="008474DE">
        <w:rPr>
          <w:rFonts w:cs="Arial"/>
          <w:color w:val="000000"/>
          <w:szCs w:val="22"/>
        </w:rPr>
        <w:t>No supplementary oxygen requirement (oxygen saturation ≥ 90% on room air)</w:t>
      </w:r>
    </w:p>
    <w:p w14:paraId="1514D91D" w14:textId="2FD418C2" w:rsidR="00B31F3D" w:rsidRPr="008474DE" w:rsidRDefault="00B31F3D" w:rsidP="00B31F3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Respiratory rate &lt; 30 breaths/minute</w:t>
      </w:r>
    </w:p>
    <w:p w14:paraId="51DF643F" w14:textId="1D7BB173" w:rsidR="00B31F3D" w:rsidRPr="008474DE" w:rsidRDefault="00B31F3D" w:rsidP="00B31F3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Haemodynamic stability: SBP &gt; 90mmHg; MAP &gt; 65mmHg</w:t>
      </w:r>
    </w:p>
    <w:p w14:paraId="73E82114" w14:textId="77777777" w:rsidR="00B31F3D" w:rsidRDefault="00B31F3D" w:rsidP="00C364F6">
      <w:pPr>
        <w:rPr>
          <w:rStyle w:val="Strong"/>
          <w:rFonts w:cs="Arial"/>
          <w:b w:val="0"/>
          <w:bCs w:val="0"/>
          <w:color w:val="333333"/>
          <w:szCs w:val="22"/>
          <w:shd w:val="clear" w:color="auto" w:fill="FFFFFF"/>
        </w:rPr>
      </w:pPr>
    </w:p>
    <w:p w14:paraId="55307158" w14:textId="77777777" w:rsidR="00C83EA5" w:rsidRDefault="00C83EA5" w:rsidP="00C364F6"/>
    <w:p w14:paraId="0DCDD5E5" w14:textId="0118E69A" w:rsidR="00C364F6" w:rsidRDefault="00C364F6" w:rsidP="00C364F6">
      <w:pPr>
        <w:rPr>
          <w:b/>
          <w:bCs/>
        </w:rPr>
      </w:pPr>
      <w:r w:rsidRPr="00C364F6">
        <w:rPr>
          <w:b/>
          <w:bCs/>
        </w:rPr>
        <w:lastRenderedPageBreak/>
        <w:t>Exclusion Criteria</w:t>
      </w:r>
    </w:p>
    <w:p w14:paraId="3353557F" w14:textId="77777777" w:rsidR="00C83EA5" w:rsidRPr="00C364F6" w:rsidRDefault="00C83EA5" w:rsidP="00C364F6">
      <w:pPr>
        <w:rPr>
          <w:b/>
          <w:bCs/>
        </w:rPr>
      </w:pPr>
    </w:p>
    <w:p w14:paraId="2C936E5C" w14:textId="77777777" w:rsidR="00C364F6" w:rsidRDefault="00C364F6" w:rsidP="00C364F6">
      <w:pPr>
        <w:pStyle w:val="ListParagraph"/>
        <w:numPr>
          <w:ilvl w:val="0"/>
          <w:numId w:val="12"/>
        </w:numPr>
        <w:spacing w:before="0" w:after="160" w:line="259" w:lineRule="auto"/>
        <w:contextualSpacing/>
      </w:pPr>
      <w:r>
        <w:t xml:space="preserve">Previous pneumothorax on the same side </w:t>
      </w:r>
    </w:p>
    <w:p w14:paraId="2EFD93CB" w14:textId="2D5DCCED" w:rsidR="00C364F6" w:rsidRDefault="00C364F6" w:rsidP="00C364F6">
      <w:pPr>
        <w:pStyle w:val="ListParagraph"/>
        <w:numPr>
          <w:ilvl w:val="0"/>
          <w:numId w:val="12"/>
        </w:numPr>
        <w:spacing w:before="0" w:after="160" w:line="259" w:lineRule="auto"/>
        <w:contextualSpacing/>
      </w:pPr>
      <w:r>
        <w:t xml:space="preserve">Secondary pneumothorax </w:t>
      </w:r>
    </w:p>
    <w:p w14:paraId="511B9A74" w14:textId="77777777" w:rsidR="00C364F6" w:rsidRDefault="00C364F6" w:rsidP="00C364F6">
      <w:pPr>
        <w:pStyle w:val="ListParagraph"/>
        <w:numPr>
          <w:ilvl w:val="0"/>
          <w:numId w:val="12"/>
        </w:numPr>
        <w:spacing w:before="0" w:after="160" w:line="259" w:lineRule="auto"/>
        <w:contextualSpacing/>
      </w:pPr>
      <w:r>
        <w:t xml:space="preserve">Co-existent haemothorax </w:t>
      </w:r>
    </w:p>
    <w:p w14:paraId="2B012776" w14:textId="5B0A6447" w:rsidR="00C364F6" w:rsidRDefault="00C364F6" w:rsidP="00C364F6">
      <w:pPr>
        <w:pStyle w:val="ListParagraph"/>
        <w:numPr>
          <w:ilvl w:val="0"/>
          <w:numId w:val="12"/>
        </w:numPr>
        <w:spacing w:before="0" w:after="160" w:line="259" w:lineRule="auto"/>
        <w:contextualSpacing/>
      </w:pPr>
      <w:r>
        <w:t>Bilateral pneumothoraces</w:t>
      </w:r>
    </w:p>
    <w:p w14:paraId="6653B31B" w14:textId="77777777" w:rsidR="00C364F6" w:rsidRDefault="00C364F6" w:rsidP="00C364F6">
      <w:pPr>
        <w:pStyle w:val="ListParagraph"/>
        <w:numPr>
          <w:ilvl w:val="0"/>
          <w:numId w:val="12"/>
        </w:numPr>
        <w:spacing w:before="0" w:after="160" w:line="259" w:lineRule="auto"/>
        <w:contextualSpacing/>
      </w:pPr>
      <w:r>
        <w:t>Clinical Tension pneumothorax (systolic BP &lt;90mmHg or MAP &lt; 65mmHg)</w:t>
      </w:r>
    </w:p>
    <w:p w14:paraId="6F6C81CB" w14:textId="19B07FEF" w:rsidR="00C83EA5" w:rsidRDefault="00C364F6" w:rsidP="00C364F6">
      <w:pPr>
        <w:pStyle w:val="ListParagraph"/>
        <w:numPr>
          <w:ilvl w:val="0"/>
          <w:numId w:val="12"/>
        </w:numPr>
        <w:spacing w:before="0" w:after="160" w:line="259" w:lineRule="auto"/>
        <w:contextualSpacing/>
      </w:pPr>
      <w:r>
        <w:t xml:space="preserve">Social circumstances make </w:t>
      </w:r>
      <w:r w:rsidR="00334F49">
        <w:t xml:space="preserve">outpatient </w:t>
      </w:r>
      <w:r w:rsidR="00C83EA5">
        <w:t>follow up</w:t>
      </w:r>
      <w:r>
        <w:t xml:space="preserve"> not possible </w:t>
      </w:r>
    </w:p>
    <w:p w14:paraId="340AF976" w14:textId="5A2A422E" w:rsidR="00C364F6" w:rsidRDefault="00C83EA5" w:rsidP="00C364F6">
      <w:pPr>
        <w:pStyle w:val="ListParagraph"/>
        <w:numPr>
          <w:ilvl w:val="0"/>
          <w:numId w:val="12"/>
        </w:numPr>
        <w:spacing w:before="0" w:after="160" w:line="259" w:lineRule="auto"/>
        <w:contextualSpacing/>
      </w:pPr>
      <w:r>
        <w:t>D</w:t>
      </w:r>
      <w:r w:rsidR="00C364F6">
        <w:t>ifficulty in presenting to ED in event of worsening symptoms</w:t>
      </w:r>
    </w:p>
    <w:p w14:paraId="2410F7DD" w14:textId="77777777" w:rsidR="00C364F6" w:rsidRDefault="00C364F6" w:rsidP="00C364F6">
      <w:pPr>
        <w:pStyle w:val="ListParagraph"/>
        <w:numPr>
          <w:ilvl w:val="0"/>
          <w:numId w:val="12"/>
        </w:numPr>
        <w:spacing w:before="0" w:after="160" w:line="259" w:lineRule="auto"/>
        <w:contextualSpacing/>
      </w:pPr>
      <w:r>
        <w:t>Pregnancy</w:t>
      </w:r>
    </w:p>
    <w:p w14:paraId="3A01A484" w14:textId="77777777" w:rsidR="00C364F6" w:rsidRDefault="00C364F6" w:rsidP="00C364F6">
      <w:pPr>
        <w:pStyle w:val="ListParagraph"/>
        <w:numPr>
          <w:ilvl w:val="0"/>
          <w:numId w:val="12"/>
        </w:numPr>
        <w:spacing w:before="0" w:after="160" w:line="259" w:lineRule="auto"/>
        <w:contextualSpacing/>
      </w:pPr>
      <w:r>
        <w:t>Planned air travel in the next 12 weeks</w:t>
      </w:r>
    </w:p>
    <w:p w14:paraId="6C111D83" w14:textId="77777777" w:rsidR="00C364F6" w:rsidRDefault="00C364F6" w:rsidP="00C364F6"/>
    <w:p w14:paraId="5AA0E71C" w14:textId="77777777" w:rsidR="00C83EA5" w:rsidRDefault="00C83EA5" w:rsidP="00C364F6"/>
    <w:p w14:paraId="124B1E9D" w14:textId="68FD38BC" w:rsidR="00C364F6" w:rsidRDefault="00C364F6" w:rsidP="00C364F6">
      <w:r>
        <w:t xml:space="preserve">In patients </w:t>
      </w:r>
      <w:r w:rsidR="002E4724">
        <w:t xml:space="preserve">who meet the inclusion </w:t>
      </w:r>
      <w:r w:rsidR="00FC0BA0">
        <w:t>criteria</w:t>
      </w:r>
      <w:r w:rsidR="003548F7">
        <w:t xml:space="preserve"> with</w:t>
      </w:r>
      <w:r>
        <w:t xml:space="preserve"> no exclusion criteria identified conservative management should </w:t>
      </w:r>
      <w:proofErr w:type="gramStart"/>
      <w:r>
        <w:t xml:space="preserve">be </w:t>
      </w:r>
      <w:r w:rsidR="002E4724">
        <w:t>offered</w:t>
      </w:r>
      <w:proofErr w:type="gramEnd"/>
      <w:r w:rsidR="002E4724">
        <w:t xml:space="preserve"> to the patient.</w:t>
      </w:r>
    </w:p>
    <w:p w14:paraId="321CFFDB" w14:textId="77777777" w:rsidR="002E4724" w:rsidRDefault="002E4724" w:rsidP="00C364F6"/>
    <w:p w14:paraId="6BAA1115" w14:textId="58DB6993" w:rsidR="002E4724" w:rsidRDefault="002E4724" w:rsidP="00C364F6">
      <w:r>
        <w:t>In those patients who do not fulfil th</w:t>
      </w:r>
      <w:r w:rsidR="00F275D9">
        <w:t>e</w:t>
      </w:r>
      <w:r>
        <w:t xml:space="preserve">se criteria a management plan should </w:t>
      </w:r>
      <w:proofErr w:type="gramStart"/>
      <w:r>
        <w:t>be discussed</w:t>
      </w:r>
      <w:proofErr w:type="gramEnd"/>
      <w:r>
        <w:t xml:space="preserve"> with the senior Emergency doctor and Respiratory Physician on call</w:t>
      </w:r>
    </w:p>
    <w:p w14:paraId="5970FC8D" w14:textId="5E958C01" w:rsidR="00C83EA5" w:rsidRDefault="00C83EA5" w:rsidP="00C364F6"/>
    <w:p w14:paraId="2A28F9F3" w14:textId="4FEE48C4" w:rsidR="00C83EA5" w:rsidRDefault="00C83EA5" w:rsidP="00C364F6">
      <w:pPr>
        <w:rPr>
          <w:b/>
          <w:bCs/>
        </w:rPr>
      </w:pPr>
      <w:r w:rsidRPr="00C83EA5">
        <w:rPr>
          <w:b/>
          <w:bCs/>
        </w:rPr>
        <w:t xml:space="preserve">5.3 CONSERVATIVE MANAGEMENT IN </w:t>
      </w:r>
      <w:r w:rsidR="00AC4168">
        <w:rPr>
          <w:b/>
          <w:bCs/>
        </w:rPr>
        <w:t>THE EMERGENCY DEPARTMENT</w:t>
      </w:r>
    </w:p>
    <w:p w14:paraId="490AB9E0" w14:textId="3B89AD7A" w:rsidR="00C83EA5" w:rsidRDefault="00C83EA5" w:rsidP="00C364F6">
      <w:pPr>
        <w:rPr>
          <w:b/>
          <w:bCs/>
        </w:rPr>
      </w:pPr>
    </w:p>
    <w:p w14:paraId="785C3907" w14:textId="588FAB4E" w:rsidR="00C83EA5" w:rsidRDefault="00C83EA5" w:rsidP="00C83EA5">
      <w:r>
        <w:t xml:space="preserve">The patient should remain in ED for observation for 4 hours to ensure no clinical deterioration and have a progress </w:t>
      </w:r>
      <w:r w:rsidR="001940E9">
        <w:t>chest X-ray</w:t>
      </w:r>
      <w:r>
        <w:t xml:space="preserve"> at 4 hours to ensure there is no change in the size of the pneumothorax</w:t>
      </w:r>
      <w:r w:rsidR="0050597E">
        <w:t>.</w:t>
      </w:r>
    </w:p>
    <w:p w14:paraId="1AABB2B2" w14:textId="2A075AD3" w:rsidR="0050597E" w:rsidRDefault="0050597E" w:rsidP="00C83EA5">
      <w:r>
        <w:t xml:space="preserve">When there is an available </w:t>
      </w:r>
      <w:proofErr w:type="gramStart"/>
      <w:r>
        <w:t>bed</w:t>
      </w:r>
      <w:proofErr w:type="gramEnd"/>
      <w:r>
        <w:t xml:space="preserve"> the patient should be moved to EDSSU for the observation period</w:t>
      </w:r>
    </w:p>
    <w:p w14:paraId="4E098C15" w14:textId="5F4FEB5A" w:rsidR="0066275D" w:rsidRDefault="0066275D" w:rsidP="00C83EA5"/>
    <w:p w14:paraId="1804C0DA" w14:textId="68571680" w:rsidR="0066275D" w:rsidRDefault="0066275D" w:rsidP="00C83EA5">
      <w:r>
        <w:t xml:space="preserve">If </w:t>
      </w:r>
      <w:r w:rsidR="008474DE">
        <w:t xml:space="preserve">after observation the patient fulfils the below </w:t>
      </w:r>
      <w:proofErr w:type="gramStart"/>
      <w:r w:rsidR="008474DE">
        <w:t>criteria</w:t>
      </w:r>
      <w:proofErr w:type="gramEnd"/>
      <w:r w:rsidR="008474DE">
        <w:t xml:space="preserve"> they </w:t>
      </w:r>
      <w:r>
        <w:t xml:space="preserve">should be discharged home with </w:t>
      </w:r>
      <w:r w:rsidR="00371D60">
        <w:t xml:space="preserve">a discharge letter and </w:t>
      </w:r>
      <w:r>
        <w:t>written instructions on reasons to reattend ED</w:t>
      </w:r>
      <w:r w:rsidR="003548F7">
        <w:t xml:space="preserve">. See </w:t>
      </w:r>
      <w:r w:rsidR="003548F7" w:rsidRPr="003548F7">
        <w:rPr>
          <w:b/>
          <w:bCs/>
        </w:rPr>
        <w:t>Appendix 1</w:t>
      </w:r>
      <w:r w:rsidR="003548F7">
        <w:t xml:space="preserve"> Patient Information Discharge Leaflet</w:t>
      </w:r>
    </w:p>
    <w:p w14:paraId="0C9741B5" w14:textId="1A7E867E" w:rsidR="008474DE" w:rsidRDefault="008474DE" w:rsidP="00C83EA5"/>
    <w:p w14:paraId="407B95F3" w14:textId="77777777" w:rsidR="00F275D9" w:rsidRDefault="00F275D9" w:rsidP="00C83EA5">
      <w:pPr>
        <w:rPr>
          <w:b/>
          <w:bCs/>
        </w:rPr>
      </w:pPr>
    </w:p>
    <w:p w14:paraId="6E80517C" w14:textId="77777777" w:rsidR="00334F49" w:rsidRDefault="00334F49" w:rsidP="00C83EA5">
      <w:pPr>
        <w:rPr>
          <w:b/>
          <w:bCs/>
        </w:rPr>
      </w:pPr>
    </w:p>
    <w:p w14:paraId="02FA4115" w14:textId="2F8DD064" w:rsidR="008474DE" w:rsidRPr="008474DE" w:rsidRDefault="008474DE" w:rsidP="00C83EA5">
      <w:pPr>
        <w:rPr>
          <w:b/>
          <w:bCs/>
        </w:rPr>
      </w:pPr>
      <w:r w:rsidRPr="008474DE">
        <w:rPr>
          <w:b/>
          <w:bCs/>
        </w:rPr>
        <w:t>Safe Discharge Criteria</w:t>
      </w:r>
    </w:p>
    <w:p w14:paraId="22F494CE" w14:textId="47D21762" w:rsidR="008474DE" w:rsidRPr="008474DE" w:rsidRDefault="008474DE" w:rsidP="008474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cs="Arial"/>
          <w:color w:val="000000"/>
          <w:szCs w:val="22"/>
        </w:rPr>
      </w:pPr>
      <w:r w:rsidRPr="008474DE">
        <w:rPr>
          <w:rFonts w:cs="Arial"/>
          <w:color w:val="000000"/>
          <w:szCs w:val="22"/>
        </w:rPr>
        <w:t>Walking comfortably</w:t>
      </w:r>
      <w:r w:rsidR="002E4724">
        <w:rPr>
          <w:rFonts w:cs="Arial"/>
          <w:color w:val="000000"/>
          <w:szCs w:val="22"/>
        </w:rPr>
        <w:t xml:space="preserve"> in the ED</w:t>
      </w:r>
    </w:p>
    <w:p w14:paraId="1BFD6407" w14:textId="55767BF5" w:rsidR="008474DE" w:rsidRPr="008474DE" w:rsidRDefault="002E4724" w:rsidP="008474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Pain</w:t>
      </w:r>
      <w:r w:rsidR="008474DE" w:rsidRPr="008474DE">
        <w:rPr>
          <w:rFonts w:cs="Arial"/>
          <w:color w:val="000000"/>
          <w:szCs w:val="22"/>
        </w:rPr>
        <w:t xml:space="preserve"> controlled with </w:t>
      </w:r>
      <w:r w:rsidR="008474DE">
        <w:rPr>
          <w:rFonts w:cs="Arial"/>
          <w:color w:val="000000"/>
          <w:szCs w:val="22"/>
        </w:rPr>
        <w:t xml:space="preserve">oral </w:t>
      </w:r>
      <w:r w:rsidR="008474DE" w:rsidRPr="008474DE">
        <w:rPr>
          <w:rFonts w:cs="Arial"/>
          <w:color w:val="000000"/>
          <w:szCs w:val="22"/>
        </w:rPr>
        <w:t>analgesia</w:t>
      </w:r>
    </w:p>
    <w:p w14:paraId="62F31511" w14:textId="77777777" w:rsidR="008474DE" w:rsidRPr="008474DE" w:rsidRDefault="008474DE" w:rsidP="008474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cs="Arial"/>
          <w:color w:val="000000"/>
          <w:szCs w:val="22"/>
        </w:rPr>
      </w:pPr>
      <w:r w:rsidRPr="008474DE">
        <w:rPr>
          <w:rFonts w:cs="Arial"/>
          <w:color w:val="000000"/>
          <w:szCs w:val="22"/>
        </w:rPr>
        <w:t>No supplementary oxygen requirement (oxygen saturation ≥ 90% on room air)</w:t>
      </w:r>
    </w:p>
    <w:p w14:paraId="227C13AE" w14:textId="7C0C06D2" w:rsidR="008474DE" w:rsidRPr="008474DE" w:rsidRDefault="008474DE" w:rsidP="008474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cs="Arial"/>
          <w:color w:val="000000"/>
          <w:szCs w:val="22"/>
        </w:rPr>
      </w:pPr>
      <w:r w:rsidRPr="008474DE">
        <w:rPr>
          <w:rFonts w:cs="Arial"/>
          <w:color w:val="000000"/>
          <w:szCs w:val="22"/>
        </w:rPr>
        <w:t>No haemodynamic compromise (</w:t>
      </w:r>
      <w:r>
        <w:rPr>
          <w:rFonts w:cs="Arial"/>
          <w:color w:val="000000"/>
          <w:szCs w:val="22"/>
        </w:rPr>
        <w:t>SBP &lt;90mmHg or MAP &lt; 65mmHg</w:t>
      </w:r>
      <w:r w:rsidRPr="008474DE">
        <w:rPr>
          <w:rFonts w:cs="Arial"/>
          <w:color w:val="000000"/>
          <w:szCs w:val="22"/>
        </w:rPr>
        <w:t>)</w:t>
      </w:r>
    </w:p>
    <w:p w14:paraId="0D0BC046" w14:textId="2A0959EC" w:rsidR="008474DE" w:rsidRPr="008474DE" w:rsidRDefault="008474DE" w:rsidP="008474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cs="Arial"/>
          <w:color w:val="000000"/>
          <w:szCs w:val="22"/>
        </w:rPr>
      </w:pPr>
      <w:r w:rsidRPr="008474DE">
        <w:rPr>
          <w:rFonts w:cs="Arial"/>
          <w:color w:val="000000"/>
          <w:szCs w:val="22"/>
        </w:rPr>
        <w:t>Pneumothorax size stable on repeat chest X-ray</w:t>
      </w:r>
    </w:p>
    <w:p w14:paraId="6F1FB349" w14:textId="77777777" w:rsidR="008474DE" w:rsidRDefault="008474DE" w:rsidP="00C83EA5"/>
    <w:p w14:paraId="5AE48C37" w14:textId="6FB57DEE" w:rsidR="00C83EA5" w:rsidRDefault="00C83EA5" w:rsidP="00C83EA5"/>
    <w:p w14:paraId="20ACF6BE" w14:textId="2682A46D" w:rsidR="00FC0BA0" w:rsidRDefault="00FC0BA0" w:rsidP="00C83EA5"/>
    <w:p w14:paraId="7CEAB56C" w14:textId="533EE98B" w:rsidR="00FC0BA0" w:rsidRDefault="00FC0BA0" w:rsidP="00C83EA5"/>
    <w:p w14:paraId="2F925655" w14:textId="77777777" w:rsidR="00FC0BA0" w:rsidRDefault="00FC0BA0" w:rsidP="00C83EA5"/>
    <w:p w14:paraId="202D2F8A" w14:textId="7BE72614" w:rsidR="00C83EA5" w:rsidRPr="0066275D" w:rsidRDefault="00C83EA5" w:rsidP="00C83EA5">
      <w:pPr>
        <w:rPr>
          <w:b/>
          <w:bCs/>
        </w:rPr>
      </w:pPr>
      <w:r w:rsidRPr="0066275D">
        <w:rPr>
          <w:b/>
          <w:bCs/>
        </w:rPr>
        <w:t>5.4 REFER</w:t>
      </w:r>
      <w:r w:rsidR="00AC4168">
        <w:rPr>
          <w:b/>
          <w:bCs/>
        </w:rPr>
        <w:t>R</w:t>
      </w:r>
      <w:r w:rsidRPr="0066275D">
        <w:rPr>
          <w:b/>
          <w:bCs/>
        </w:rPr>
        <w:t xml:space="preserve">AL FOR FOLLOW UP </w:t>
      </w:r>
    </w:p>
    <w:p w14:paraId="10CB0AD4" w14:textId="77777777" w:rsidR="00C83EA5" w:rsidRDefault="00C83EA5" w:rsidP="00C83EA5"/>
    <w:p w14:paraId="216A1B11" w14:textId="4903BBE8" w:rsidR="00C83EA5" w:rsidRDefault="00C83EA5" w:rsidP="00C83EA5">
      <w:r>
        <w:t xml:space="preserve">Prior to discharge the patient should </w:t>
      </w:r>
      <w:proofErr w:type="gramStart"/>
      <w:r>
        <w:t>be discussed</w:t>
      </w:r>
      <w:proofErr w:type="gramEnd"/>
      <w:r>
        <w:t xml:space="preserve"> with the on call Respiratory Physician to ensure conservative management is considered appropriate and referred</w:t>
      </w:r>
      <w:r w:rsidRPr="00C83EA5">
        <w:t xml:space="preserve"> </w:t>
      </w:r>
      <w:r>
        <w:t>to the Respiratory clinic</w:t>
      </w:r>
      <w:r w:rsidR="00650C80">
        <w:t xml:space="preserve"> on extension 37067 </w:t>
      </w:r>
      <w:r>
        <w:t xml:space="preserve">for follow up in 1 week </w:t>
      </w:r>
    </w:p>
    <w:p w14:paraId="6F7817DB" w14:textId="6D3829B0" w:rsidR="0066275D" w:rsidRDefault="0066275D" w:rsidP="00C83EA5"/>
    <w:p w14:paraId="37EB7B03" w14:textId="2A05AB93" w:rsidR="00F275D9" w:rsidRDefault="0066275D" w:rsidP="00C83EA5">
      <w:r>
        <w:t xml:space="preserve">Patients should </w:t>
      </w:r>
      <w:proofErr w:type="gramStart"/>
      <w:r>
        <w:t>be advised</w:t>
      </w:r>
      <w:proofErr w:type="gramEnd"/>
      <w:r>
        <w:t xml:space="preserve"> to </w:t>
      </w:r>
      <w:r w:rsidR="00C46802">
        <w:t>attend follow up</w:t>
      </w:r>
      <w:r>
        <w:t xml:space="preserve"> for assessment on the next morning that is more than 24 hours after the index visit. </w:t>
      </w:r>
    </w:p>
    <w:p w14:paraId="1EA42BF7" w14:textId="0DD97679" w:rsidR="0066275D" w:rsidRDefault="00F275D9" w:rsidP="00F275D9">
      <w:pPr>
        <w:pStyle w:val="ListParagraph"/>
        <w:numPr>
          <w:ilvl w:val="0"/>
          <w:numId w:val="5"/>
        </w:numPr>
      </w:pPr>
      <w:r>
        <w:t xml:space="preserve">When this will </w:t>
      </w:r>
      <w:r w:rsidR="0066275D">
        <w:t xml:space="preserve">fall on a weekend or public </w:t>
      </w:r>
      <w:proofErr w:type="gramStart"/>
      <w:r w:rsidR="0066275D">
        <w:t>holiday</w:t>
      </w:r>
      <w:proofErr w:type="gramEnd"/>
      <w:r w:rsidR="0066275D">
        <w:t xml:space="preserve"> they should be advised to reattend ED and be placed on the expected patient list on EMR</w:t>
      </w:r>
    </w:p>
    <w:p w14:paraId="01655CFF" w14:textId="0E89EA03" w:rsidR="00C55B81" w:rsidRDefault="00C55B81" w:rsidP="00C55B81">
      <w:pPr>
        <w:pStyle w:val="ListParagraph"/>
        <w:numPr>
          <w:ilvl w:val="0"/>
          <w:numId w:val="5"/>
        </w:numPr>
      </w:pPr>
      <w:r>
        <w:t xml:space="preserve">When this will fall on a weekday (excluding public holidays) the patient should be referred to the Respiratory Clinic at Hurstville Private Hospital </w:t>
      </w:r>
      <w:r w:rsidR="0050597E">
        <w:t>by faxing a copy of the discharge summary marked “</w:t>
      </w:r>
      <w:r w:rsidR="0050597E" w:rsidRPr="0050597E">
        <w:rPr>
          <w:i/>
          <w:iCs/>
        </w:rPr>
        <w:t>URGENT</w:t>
      </w:r>
      <w:proofErr w:type="gramStart"/>
      <w:r w:rsidR="0050597E">
        <w:rPr>
          <w:i/>
          <w:iCs/>
        </w:rPr>
        <w:t>”</w:t>
      </w:r>
      <w:r w:rsidR="003548F7">
        <w:rPr>
          <w:i/>
          <w:iCs/>
        </w:rPr>
        <w:t>.</w:t>
      </w:r>
      <w:proofErr w:type="gramEnd"/>
      <w:r w:rsidR="003548F7">
        <w:rPr>
          <w:i/>
          <w:iCs/>
        </w:rPr>
        <w:t xml:space="preserve"> </w:t>
      </w:r>
      <w:r w:rsidR="003548F7">
        <w:t xml:space="preserve">The patient can then call the phone number to book an appointment </w:t>
      </w:r>
    </w:p>
    <w:p w14:paraId="1D56CE7A" w14:textId="77777777" w:rsidR="003548F7" w:rsidRDefault="003548F7" w:rsidP="00C55B81">
      <w:pPr>
        <w:pStyle w:val="ListParagraph"/>
        <w:ind w:left="360"/>
      </w:pPr>
    </w:p>
    <w:p w14:paraId="1D2F23D0" w14:textId="5056A86E" w:rsidR="00C55B81" w:rsidRDefault="007F09DD" w:rsidP="007F09DD">
      <w:r>
        <w:t xml:space="preserve">      </w:t>
      </w:r>
      <w:r w:rsidR="00C55B81">
        <w:t>Suite 11, Level 1</w:t>
      </w:r>
    </w:p>
    <w:p w14:paraId="66E9948E" w14:textId="6F9B0F92" w:rsidR="00C55B81" w:rsidRPr="00C55B81" w:rsidRDefault="00C55B81" w:rsidP="00C55B81">
      <w:pPr>
        <w:pStyle w:val="xxmsonormal"/>
        <w:shd w:val="clear" w:color="auto" w:fill="FFFFFF"/>
        <w:rPr>
          <w:rFonts w:ascii="Arial" w:hAnsi="Arial" w:cs="Arial"/>
        </w:rPr>
      </w:pPr>
      <w:r>
        <w:rPr>
          <w:color w:val="000000"/>
          <w:sz w:val="24"/>
          <w:szCs w:val="24"/>
        </w:rPr>
        <w:t xml:space="preserve">     </w:t>
      </w:r>
      <w:r w:rsidRPr="00C55B81">
        <w:rPr>
          <w:rFonts w:ascii="Arial" w:hAnsi="Arial" w:cs="Arial"/>
          <w:color w:val="000000"/>
        </w:rPr>
        <w:t xml:space="preserve"> 37 Gloucester Rd, Hurstville, NSW 2220</w:t>
      </w:r>
    </w:p>
    <w:p w14:paraId="29F4EA99" w14:textId="0D1398FC" w:rsidR="00C55B81" w:rsidRPr="003548F7" w:rsidRDefault="00C55B81" w:rsidP="00C55B81">
      <w:pPr>
        <w:pStyle w:val="xxmsonormal"/>
        <w:shd w:val="clear" w:color="auto" w:fill="FFFFFF"/>
        <w:rPr>
          <w:rFonts w:ascii="Arial" w:hAnsi="Arial" w:cs="Arial"/>
          <w:b/>
          <w:bCs/>
        </w:rPr>
      </w:pPr>
      <w:r w:rsidRPr="003548F7">
        <w:rPr>
          <w:rFonts w:ascii="Arial" w:hAnsi="Arial" w:cs="Arial"/>
          <w:b/>
          <w:bCs/>
          <w:color w:val="000000"/>
        </w:rPr>
        <w:t xml:space="preserve">     T</w:t>
      </w:r>
      <w:r w:rsidR="003548F7">
        <w:rPr>
          <w:rFonts w:ascii="Arial" w:hAnsi="Arial" w:cs="Arial"/>
          <w:b/>
          <w:bCs/>
          <w:color w:val="000000"/>
        </w:rPr>
        <w:t>el</w:t>
      </w:r>
      <w:r w:rsidRPr="003548F7">
        <w:rPr>
          <w:rFonts w:ascii="Arial" w:hAnsi="Arial" w:cs="Arial"/>
          <w:b/>
          <w:bCs/>
          <w:color w:val="000000"/>
        </w:rPr>
        <w:t>: 95704800; F</w:t>
      </w:r>
      <w:r w:rsidR="003548F7">
        <w:rPr>
          <w:rFonts w:ascii="Arial" w:hAnsi="Arial" w:cs="Arial"/>
          <w:b/>
          <w:bCs/>
          <w:color w:val="000000"/>
        </w:rPr>
        <w:t>ax</w:t>
      </w:r>
      <w:r w:rsidRPr="003548F7">
        <w:rPr>
          <w:rFonts w:ascii="Arial" w:hAnsi="Arial" w:cs="Arial"/>
          <w:b/>
          <w:bCs/>
          <w:color w:val="000000"/>
        </w:rPr>
        <w:t>: 95704855</w:t>
      </w:r>
      <w:r w:rsidR="003548F7">
        <w:rPr>
          <w:rFonts w:ascii="Arial" w:hAnsi="Arial" w:cs="Arial"/>
          <w:b/>
          <w:bCs/>
          <w:color w:val="000000"/>
        </w:rPr>
        <w:t xml:space="preserve"> </w:t>
      </w:r>
    </w:p>
    <w:p w14:paraId="5C4FAF7E" w14:textId="77777777" w:rsidR="003548F7" w:rsidRPr="003548F7" w:rsidRDefault="00C55B81" w:rsidP="003548F7">
      <w:pPr>
        <w:pStyle w:val="xxmsonormal"/>
        <w:shd w:val="clear" w:color="auto" w:fill="FFFFFF"/>
        <w:rPr>
          <w:rFonts w:ascii="Arial" w:hAnsi="Arial" w:cs="Arial"/>
        </w:rPr>
      </w:pPr>
      <w:r w:rsidRPr="00C55B81">
        <w:rPr>
          <w:rFonts w:ascii="Arial" w:hAnsi="Arial" w:cs="Arial"/>
          <w:color w:val="000000"/>
        </w:rPr>
        <w:t xml:space="preserve">    </w:t>
      </w:r>
      <w:r w:rsidR="003548F7">
        <w:t xml:space="preserve"> </w:t>
      </w:r>
      <w:r w:rsidR="003548F7" w:rsidRPr="003548F7">
        <w:rPr>
          <w:rFonts w:ascii="Arial" w:hAnsi="Arial" w:cs="Arial"/>
          <w:color w:val="000000"/>
        </w:rPr>
        <w:t>email reception@sirespiratory.org</w:t>
      </w:r>
    </w:p>
    <w:p w14:paraId="455415B0" w14:textId="780C5B33" w:rsidR="003548F7" w:rsidRPr="003548F7" w:rsidRDefault="003548F7" w:rsidP="00C55B81">
      <w:pPr>
        <w:pStyle w:val="xxmsonormal"/>
        <w:shd w:val="clear" w:color="auto" w:fill="FFFFFF"/>
        <w:rPr>
          <w:rFonts w:ascii="Arial" w:hAnsi="Arial" w:cs="Arial"/>
          <w:color w:val="0000FF"/>
          <w:u w:val="single"/>
        </w:rPr>
      </w:pPr>
    </w:p>
    <w:p w14:paraId="6AA2C4D0" w14:textId="77777777" w:rsidR="00C55B81" w:rsidRDefault="00C55B81" w:rsidP="00C55B81">
      <w:pPr>
        <w:pStyle w:val="ListParagraph"/>
        <w:ind w:left="360"/>
      </w:pPr>
    </w:p>
    <w:p w14:paraId="34B5754D" w14:textId="77777777" w:rsidR="0066275D" w:rsidRDefault="0066275D" w:rsidP="00C83EA5"/>
    <w:p w14:paraId="50DD5858" w14:textId="56931297" w:rsidR="0066275D" w:rsidRDefault="0066275D" w:rsidP="00C83EA5"/>
    <w:p w14:paraId="633D16E6" w14:textId="538782BB" w:rsidR="0066275D" w:rsidRDefault="0066275D" w:rsidP="00C83EA5">
      <w:pPr>
        <w:rPr>
          <w:b/>
          <w:bCs/>
        </w:rPr>
      </w:pPr>
      <w:r w:rsidRPr="0066275D">
        <w:rPr>
          <w:b/>
          <w:bCs/>
        </w:rPr>
        <w:t>5.5 ASSESSMENT AT FOLLOW UP APPOINTMENT</w:t>
      </w:r>
    </w:p>
    <w:p w14:paraId="10AF32BA" w14:textId="2C39C78A" w:rsidR="0066275D" w:rsidRDefault="0066275D" w:rsidP="00C83EA5">
      <w:pPr>
        <w:rPr>
          <w:b/>
          <w:bCs/>
        </w:rPr>
      </w:pPr>
    </w:p>
    <w:p w14:paraId="4631BFFD" w14:textId="0CAADE8D" w:rsidR="0066275D" w:rsidRDefault="00C55B81" w:rsidP="0066275D">
      <w:r>
        <w:t>When</w:t>
      </w:r>
      <w:r w:rsidR="0066275D">
        <w:t xml:space="preserve"> the follow up visit</w:t>
      </w:r>
      <w:r>
        <w:t xml:space="preserve"> takes place in Sutherland ED </w:t>
      </w:r>
      <w:r w:rsidR="0066275D">
        <w:t>a clinical assessment of stability</w:t>
      </w:r>
      <w:r w:rsidR="00371D60">
        <w:t xml:space="preserve"> including a </w:t>
      </w:r>
      <w:r w:rsidR="00F275D9">
        <w:t xml:space="preserve">full </w:t>
      </w:r>
      <w:r w:rsidR="00371D60">
        <w:t>set of physiological observations</w:t>
      </w:r>
      <w:r w:rsidR="0066275D">
        <w:t xml:space="preserve"> and progress Chest X-ray should </w:t>
      </w:r>
      <w:proofErr w:type="gramStart"/>
      <w:r w:rsidR="0066275D">
        <w:t>be performed</w:t>
      </w:r>
      <w:proofErr w:type="gramEnd"/>
      <w:r w:rsidR="0066275D">
        <w:t xml:space="preserve"> to ensure no clinical deterioration or progression in size of the pneumothorax has occurred</w:t>
      </w:r>
      <w:r w:rsidR="00650C80">
        <w:t xml:space="preserve">. Whilst in </w:t>
      </w:r>
      <w:r>
        <w:t xml:space="preserve">ED </w:t>
      </w:r>
      <w:r w:rsidR="00650C80">
        <w:t xml:space="preserve">the patient should </w:t>
      </w:r>
      <w:proofErr w:type="gramStart"/>
      <w:r w:rsidR="00650C80">
        <w:t xml:space="preserve">be </w:t>
      </w:r>
      <w:r w:rsidR="008055EC">
        <w:t>discussed</w:t>
      </w:r>
      <w:proofErr w:type="gramEnd"/>
      <w:r w:rsidR="008055EC">
        <w:t xml:space="preserve"> with</w:t>
      </w:r>
      <w:r w:rsidR="00650C80">
        <w:t xml:space="preserve"> the Respiratory </w:t>
      </w:r>
      <w:r w:rsidR="008055EC">
        <w:t>Physician on call.</w:t>
      </w:r>
    </w:p>
    <w:p w14:paraId="503102CB" w14:textId="77777777" w:rsidR="0066275D" w:rsidRDefault="0066275D" w:rsidP="0066275D"/>
    <w:p w14:paraId="7D9F2938" w14:textId="25EA80D2" w:rsidR="0066275D" w:rsidRDefault="0066275D" w:rsidP="0066275D">
      <w:r>
        <w:t xml:space="preserve">If there has been clinical deterioration or an increase in size of the pneumothorax a </w:t>
      </w:r>
      <w:r w:rsidR="001C68C3">
        <w:t>pleural</w:t>
      </w:r>
      <w:r>
        <w:t xml:space="preserve"> drain should be </w:t>
      </w:r>
      <w:proofErr w:type="gramStart"/>
      <w:r>
        <w:t>inserted</w:t>
      </w:r>
      <w:proofErr w:type="gramEnd"/>
      <w:r>
        <w:t xml:space="preserve"> and the patient admitted under the Respiratory team</w:t>
      </w:r>
    </w:p>
    <w:p w14:paraId="24039257" w14:textId="7CD478CF" w:rsidR="00954A69" w:rsidRDefault="00954A69" w:rsidP="0066275D">
      <w:r>
        <w:t xml:space="preserve">-refer to the </w:t>
      </w:r>
      <w:r w:rsidR="00371D60">
        <w:t xml:space="preserve"> </w:t>
      </w:r>
      <w:hyperlink r:id="rId9" w:history="1">
        <w:r w:rsidRPr="00371D60">
          <w:rPr>
            <w:rStyle w:val="Hyperlink"/>
          </w:rPr>
          <w:t xml:space="preserve">ACI </w:t>
        </w:r>
        <w:r w:rsidRPr="00371D60">
          <w:rPr>
            <w:rStyle w:val="Hyperlink"/>
            <w:rFonts w:cs="Arial"/>
            <w:szCs w:val="22"/>
            <w:shd w:val="clear" w:color="auto" w:fill="FFFFFF"/>
          </w:rPr>
          <w:t>Pleural Drains in Adults - A Consensus Guideline</w:t>
        </w:r>
      </w:hyperlink>
    </w:p>
    <w:p w14:paraId="073F23FD" w14:textId="77777777" w:rsidR="0066275D" w:rsidRDefault="0066275D" w:rsidP="0066275D"/>
    <w:p w14:paraId="13097F97" w14:textId="77777777" w:rsidR="008055EC" w:rsidRDefault="0066275D" w:rsidP="008055EC">
      <w:r>
        <w:t xml:space="preserve">If the patient remains clinically stable and there is no increase in size of the pneumothorax on Chest X-ray the patient can be discharged for follow up in Respiratory clinic with written instructions on reasons to reattend </w:t>
      </w:r>
      <w:proofErr w:type="gramStart"/>
      <w:r>
        <w:t>ED</w:t>
      </w:r>
      <w:r w:rsidR="008055EC">
        <w:t xml:space="preserve"> .</w:t>
      </w:r>
      <w:proofErr w:type="gramEnd"/>
      <w:r w:rsidR="008055EC">
        <w:t xml:space="preserve"> </w:t>
      </w:r>
      <w:r w:rsidR="008055EC">
        <w:t xml:space="preserve">. See </w:t>
      </w:r>
      <w:r w:rsidR="008055EC" w:rsidRPr="003548F7">
        <w:rPr>
          <w:b/>
          <w:bCs/>
        </w:rPr>
        <w:t>Appendix 1</w:t>
      </w:r>
      <w:r w:rsidR="008055EC">
        <w:t xml:space="preserve"> Patient Information Discharge Leaflet</w:t>
      </w:r>
    </w:p>
    <w:p w14:paraId="5DFD4127" w14:textId="6E70899C" w:rsidR="0066275D" w:rsidRDefault="0066275D" w:rsidP="0066275D"/>
    <w:p w14:paraId="3FA8B4ED" w14:textId="77777777" w:rsidR="0066275D" w:rsidRPr="0066275D" w:rsidRDefault="0066275D" w:rsidP="00C83EA5">
      <w:pPr>
        <w:rPr>
          <w:b/>
          <w:bCs/>
        </w:rPr>
      </w:pPr>
    </w:p>
    <w:p w14:paraId="2BD7F0A3" w14:textId="77777777" w:rsidR="0066275D" w:rsidRDefault="0066275D" w:rsidP="00C83EA5"/>
    <w:p w14:paraId="345D0411" w14:textId="77777777" w:rsidR="00AC04E1" w:rsidRPr="00AC04E1" w:rsidRDefault="00AC04E1" w:rsidP="00AC04E1">
      <w:pPr>
        <w:rPr>
          <w:lang w:eastAsia="en-US"/>
        </w:rPr>
      </w:pPr>
    </w:p>
    <w:p w14:paraId="19B53103" w14:textId="77777777" w:rsidR="00650C80" w:rsidRDefault="00650C80" w:rsidP="00974038">
      <w:pPr>
        <w:rPr>
          <w:rFonts w:cs="Arial"/>
          <w:b/>
          <w:szCs w:val="22"/>
        </w:rPr>
      </w:pPr>
    </w:p>
    <w:p w14:paraId="655CDA97" w14:textId="77777777" w:rsidR="00650C80" w:rsidRDefault="00650C80" w:rsidP="00974038">
      <w:pPr>
        <w:rPr>
          <w:rFonts w:cs="Arial"/>
          <w:b/>
          <w:szCs w:val="22"/>
        </w:rPr>
      </w:pPr>
    </w:p>
    <w:p w14:paraId="0405BA15" w14:textId="77777777" w:rsidR="00650C80" w:rsidRDefault="00650C80" w:rsidP="00974038">
      <w:pPr>
        <w:rPr>
          <w:rFonts w:cs="Arial"/>
          <w:b/>
          <w:szCs w:val="22"/>
        </w:rPr>
      </w:pPr>
    </w:p>
    <w:p w14:paraId="10582544" w14:textId="77777777" w:rsidR="00FC0BA0" w:rsidRDefault="00FC0BA0" w:rsidP="00974038">
      <w:pPr>
        <w:rPr>
          <w:rFonts w:cs="Arial"/>
          <w:b/>
          <w:szCs w:val="22"/>
        </w:rPr>
      </w:pPr>
    </w:p>
    <w:p w14:paraId="59EB3818" w14:textId="77777777" w:rsidR="00FC0BA0" w:rsidRDefault="00FC0BA0" w:rsidP="00974038">
      <w:pPr>
        <w:rPr>
          <w:rFonts w:cs="Arial"/>
          <w:b/>
          <w:szCs w:val="22"/>
        </w:rPr>
      </w:pPr>
    </w:p>
    <w:p w14:paraId="6AFBF27F" w14:textId="77777777" w:rsidR="00FC0BA0" w:rsidRDefault="00FC0BA0" w:rsidP="00974038">
      <w:pPr>
        <w:rPr>
          <w:rFonts w:cs="Arial"/>
          <w:b/>
          <w:szCs w:val="22"/>
        </w:rPr>
      </w:pPr>
    </w:p>
    <w:p w14:paraId="27CC9EC1" w14:textId="2FD3CA12" w:rsidR="005503BB" w:rsidRDefault="005503BB" w:rsidP="00974038">
      <w:pPr>
        <w:rPr>
          <w:rFonts w:cs="Arial"/>
          <w:b/>
          <w:szCs w:val="22"/>
        </w:rPr>
      </w:pPr>
      <w:r w:rsidRPr="00675D53">
        <w:rPr>
          <w:rFonts w:cs="Arial"/>
          <w:b/>
          <w:szCs w:val="22"/>
        </w:rPr>
        <w:t xml:space="preserve">Definitions </w:t>
      </w:r>
    </w:p>
    <w:p w14:paraId="3680904F" w14:textId="7D2CFA8A" w:rsidR="00AC04E1" w:rsidRDefault="00AC04E1" w:rsidP="00974038">
      <w:pPr>
        <w:rPr>
          <w:rFonts w:cs="Arial"/>
          <w:b/>
          <w:szCs w:val="22"/>
        </w:rPr>
      </w:pPr>
    </w:p>
    <w:p w14:paraId="72FBF5D5" w14:textId="0D687AA3" w:rsidR="00AC04E1" w:rsidRPr="00C364F6" w:rsidRDefault="00AC04E1" w:rsidP="00974038">
      <w:pPr>
        <w:rPr>
          <w:rFonts w:cs="Arial"/>
          <w:color w:val="444444"/>
          <w:shd w:val="clear" w:color="auto" w:fill="FFFFFF"/>
        </w:rPr>
      </w:pPr>
      <w:r w:rsidRPr="00C364F6">
        <w:rPr>
          <w:rFonts w:cs="Arial"/>
          <w:b/>
          <w:szCs w:val="22"/>
        </w:rPr>
        <w:t xml:space="preserve">Primary Spontaneous Pneumothorax </w:t>
      </w:r>
      <w:r w:rsidRPr="00C364F6">
        <w:rPr>
          <w:rFonts w:cs="Arial"/>
          <w:color w:val="444444"/>
          <w:shd w:val="clear" w:color="auto" w:fill="FFFFFF"/>
        </w:rPr>
        <w:t>one that occurs without an apparent cause such as trauma and in the absence of significant lung disease</w:t>
      </w:r>
    </w:p>
    <w:p w14:paraId="3DAB28E7" w14:textId="1FD077D8" w:rsidR="00C364F6" w:rsidRDefault="00C364F6" w:rsidP="00C364F6">
      <w:pPr>
        <w:spacing w:before="0" w:after="160" w:line="259" w:lineRule="auto"/>
        <w:contextualSpacing/>
      </w:pPr>
      <w:r w:rsidRPr="00C364F6">
        <w:rPr>
          <w:b/>
          <w:bCs/>
        </w:rPr>
        <w:t xml:space="preserve">Secondary </w:t>
      </w:r>
      <w:r w:rsidR="00AC4168">
        <w:rPr>
          <w:b/>
          <w:bCs/>
        </w:rPr>
        <w:t>P</w:t>
      </w:r>
      <w:r w:rsidRPr="00C364F6">
        <w:rPr>
          <w:b/>
          <w:bCs/>
        </w:rPr>
        <w:t>neumothorax</w:t>
      </w:r>
      <w:r>
        <w:t xml:space="preserve"> defined as occurring in the setting of acute trauma or underlying lung disease including asthma</w:t>
      </w:r>
    </w:p>
    <w:p w14:paraId="1D1DC90E" w14:textId="57D5239E" w:rsidR="00C364F6" w:rsidRPr="00AC04E1" w:rsidRDefault="00C364F6" w:rsidP="00974038">
      <w:pPr>
        <w:rPr>
          <w:rFonts w:cs="Arial"/>
          <w:bCs/>
          <w:color w:val="0066FF"/>
          <w:szCs w:val="22"/>
        </w:rPr>
      </w:pPr>
      <w:r w:rsidRPr="00C364F6">
        <w:rPr>
          <w:b/>
          <w:bCs/>
        </w:rPr>
        <w:t xml:space="preserve">Senior Emergency </w:t>
      </w:r>
      <w:r w:rsidR="00AC4168">
        <w:rPr>
          <w:b/>
          <w:bCs/>
        </w:rPr>
        <w:t>D</w:t>
      </w:r>
      <w:r w:rsidRPr="00C364F6">
        <w:rPr>
          <w:b/>
          <w:bCs/>
        </w:rPr>
        <w:t>octor</w:t>
      </w:r>
      <w:r>
        <w:t xml:space="preserve"> refers to Emergency Department Advanced Trainees and Consultants.</w:t>
      </w:r>
    </w:p>
    <w:p w14:paraId="6FF31519" w14:textId="06AAD37F" w:rsidR="0029286F" w:rsidRPr="001C68C3" w:rsidRDefault="001C68C3" w:rsidP="00974038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Pleural Drain </w:t>
      </w:r>
      <w:r>
        <w:rPr>
          <w:rFonts w:cs="Arial"/>
          <w:szCs w:val="22"/>
        </w:rPr>
        <w:t xml:space="preserve">refers to a </w:t>
      </w:r>
      <w:proofErr w:type="spellStart"/>
      <w:r>
        <w:rPr>
          <w:rFonts w:cs="Arial"/>
          <w:szCs w:val="22"/>
        </w:rPr>
        <w:t>Seldinger</w:t>
      </w:r>
      <w:proofErr w:type="spellEnd"/>
      <w:r>
        <w:rPr>
          <w:rFonts w:cs="Arial"/>
          <w:szCs w:val="22"/>
        </w:rPr>
        <w:t xml:space="preserve"> approach pigtail chest/pleural drain</w:t>
      </w:r>
    </w:p>
    <w:p w14:paraId="3C770965" w14:textId="686BBCB7" w:rsidR="0094606F" w:rsidRDefault="0094606F">
      <w:pPr>
        <w:spacing w:before="0" w:after="0"/>
        <w:rPr>
          <w:lang w:eastAsia="en-US"/>
        </w:rPr>
      </w:pPr>
      <w:r>
        <w:rPr>
          <w:lang w:eastAsia="en-US"/>
        </w:rP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7082"/>
      </w:tblGrid>
      <w:tr w:rsidR="0000351F" w:rsidRPr="00300918" w14:paraId="56F47B55" w14:textId="77777777" w:rsidTr="008D3382">
        <w:tc>
          <w:tcPr>
            <w:tcW w:w="2557" w:type="dxa"/>
          </w:tcPr>
          <w:p w14:paraId="3DB02F40" w14:textId="77777777" w:rsidR="0000351F" w:rsidRPr="00300918" w:rsidRDefault="00E73AA8" w:rsidP="00974038">
            <w:pPr>
              <w:rPr>
                <w:rFonts w:cs="Arial"/>
                <w:b/>
              </w:rPr>
            </w:pPr>
            <w:r w:rsidRPr="00300918">
              <w:rPr>
                <w:rFonts w:cs="Arial"/>
                <w:szCs w:val="22"/>
                <w:u w:val="single"/>
              </w:rPr>
              <w:lastRenderedPageBreak/>
              <w:br w:type="page"/>
            </w:r>
            <w:r w:rsidR="0000351F" w:rsidRPr="00300918">
              <w:rPr>
                <w:rFonts w:cs="Arial"/>
                <w:szCs w:val="22"/>
                <w:u w:val="single"/>
              </w:rPr>
              <w:br w:type="page"/>
            </w:r>
            <w:r w:rsidR="0000351F" w:rsidRPr="00300918">
              <w:rPr>
                <w:rFonts w:cs="Arial"/>
                <w:b/>
              </w:rPr>
              <w:t>6. Cross References</w:t>
            </w:r>
          </w:p>
        </w:tc>
        <w:tc>
          <w:tcPr>
            <w:tcW w:w="7082" w:type="dxa"/>
          </w:tcPr>
          <w:p w14:paraId="2B116FA3" w14:textId="2F77FD84" w:rsidR="00954A69" w:rsidRPr="00954A69" w:rsidRDefault="00126B31" w:rsidP="00974038">
            <w:pPr>
              <w:rPr>
                <w:rFonts w:cs="Arial"/>
                <w:b/>
                <w:bCs/>
                <w:color w:val="3366FF"/>
                <w:szCs w:val="22"/>
              </w:rPr>
            </w:pPr>
            <w:hyperlink r:id="rId10" w:history="1">
              <w:r w:rsidR="00954A69" w:rsidRPr="00954A69">
                <w:rPr>
                  <w:rStyle w:val="Hyperlink"/>
                  <w:rFonts w:cs="Arial"/>
                  <w:b/>
                  <w:bCs/>
                  <w:color w:val="4472C4" w:themeColor="accent5"/>
                  <w:szCs w:val="22"/>
                </w:rPr>
                <w:t>https://www.aci.health.nsw.gov.au/resources/respiratory/pleural-drains/pleural-drains-in-adults</w:t>
              </w:r>
            </w:hyperlink>
          </w:p>
        </w:tc>
      </w:tr>
      <w:tr w:rsidR="0000351F" w:rsidRPr="00300918" w14:paraId="7AA0BAD0" w14:textId="77777777" w:rsidTr="008D3382">
        <w:tc>
          <w:tcPr>
            <w:tcW w:w="2557" w:type="dxa"/>
          </w:tcPr>
          <w:p w14:paraId="7C2C51C7" w14:textId="77777777" w:rsidR="0000351F" w:rsidRPr="00300918" w:rsidRDefault="0000351F" w:rsidP="00974038">
            <w:pPr>
              <w:rPr>
                <w:rFonts w:cs="Arial"/>
                <w:b/>
              </w:rPr>
            </w:pPr>
            <w:r w:rsidRPr="00300918">
              <w:rPr>
                <w:rFonts w:cs="Arial"/>
                <w:b/>
              </w:rPr>
              <w:t>7. Keywords</w:t>
            </w:r>
          </w:p>
        </w:tc>
        <w:tc>
          <w:tcPr>
            <w:tcW w:w="7082" w:type="dxa"/>
          </w:tcPr>
          <w:p w14:paraId="4B4A40B2" w14:textId="65843A94" w:rsidR="0044208C" w:rsidRPr="00300918" w:rsidRDefault="00F2066B" w:rsidP="0074605E">
            <w:pPr>
              <w:rPr>
                <w:rFonts w:cs="Arial"/>
                <w:color w:val="3366FF"/>
                <w:szCs w:val="22"/>
              </w:rPr>
            </w:pPr>
            <w:r w:rsidRPr="00F2066B">
              <w:rPr>
                <w:rFonts w:cs="Arial"/>
                <w:szCs w:val="22"/>
              </w:rPr>
              <w:t>Pneumothorax, Chest Drain</w:t>
            </w:r>
            <w:r w:rsidR="00954A69">
              <w:rPr>
                <w:rFonts w:cs="Arial"/>
                <w:szCs w:val="22"/>
              </w:rPr>
              <w:t>, Pleural Drain</w:t>
            </w:r>
          </w:p>
        </w:tc>
      </w:tr>
      <w:tr w:rsidR="0000351F" w:rsidRPr="00300918" w14:paraId="7C3DC43A" w14:textId="77777777" w:rsidTr="008D3382">
        <w:tc>
          <w:tcPr>
            <w:tcW w:w="2557" w:type="dxa"/>
          </w:tcPr>
          <w:p w14:paraId="032BA8B7" w14:textId="77777777" w:rsidR="0000351F" w:rsidRPr="00300918" w:rsidRDefault="0000351F" w:rsidP="0074605E">
            <w:pPr>
              <w:rPr>
                <w:rFonts w:cs="Arial"/>
                <w:b/>
              </w:rPr>
            </w:pPr>
            <w:r w:rsidRPr="00300918">
              <w:rPr>
                <w:rFonts w:cs="Arial"/>
                <w:b/>
              </w:rPr>
              <w:t xml:space="preserve">8. </w:t>
            </w:r>
            <w:r w:rsidR="0074605E">
              <w:rPr>
                <w:rFonts w:cs="Arial"/>
                <w:b/>
              </w:rPr>
              <w:t>BR</w:t>
            </w:r>
            <w:r w:rsidR="008D6A19" w:rsidRPr="00300918">
              <w:rPr>
                <w:rFonts w:cs="Arial"/>
                <w:b/>
              </w:rPr>
              <w:t xml:space="preserve"> Location</w:t>
            </w:r>
          </w:p>
        </w:tc>
        <w:tc>
          <w:tcPr>
            <w:tcW w:w="7082" w:type="dxa"/>
          </w:tcPr>
          <w:p w14:paraId="3CF41E5E" w14:textId="136435D7" w:rsidR="0000351F" w:rsidRPr="00300918" w:rsidRDefault="00F2066B" w:rsidP="0074605E">
            <w:pPr>
              <w:rPr>
                <w:rFonts w:cs="Arial"/>
                <w:color w:val="3366FF"/>
                <w:szCs w:val="22"/>
              </w:rPr>
            </w:pPr>
            <w:r>
              <w:t>http://seslhdweb.seslhd.health.nsw.gov.au/TSH/Business_Rules/Emergency/default.asp, under P</w:t>
            </w:r>
          </w:p>
        </w:tc>
      </w:tr>
      <w:tr w:rsidR="0000351F" w:rsidRPr="00300918" w14:paraId="7EE1CDEA" w14:textId="77777777" w:rsidTr="008D3382">
        <w:tc>
          <w:tcPr>
            <w:tcW w:w="2557" w:type="dxa"/>
          </w:tcPr>
          <w:p w14:paraId="689DF23C" w14:textId="77777777" w:rsidR="0000351F" w:rsidRPr="00300918" w:rsidRDefault="0000351F" w:rsidP="00974038">
            <w:pPr>
              <w:rPr>
                <w:rFonts w:cs="Arial"/>
                <w:b/>
              </w:rPr>
            </w:pPr>
            <w:r w:rsidRPr="00300918">
              <w:rPr>
                <w:rFonts w:cs="Arial"/>
                <w:b/>
              </w:rPr>
              <w:t>9. External References</w:t>
            </w:r>
          </w:p>
        </w:tc>
        <w:tc>
          <w:tcPr>
            <w:tcW w:w="7082" w:type="dxa"/>
          </w:tcPr>
          <w:p w14:paraId="70CA9249" w14:textId="79B11A37" w:rsidR="009A37DA" w:rsidRPr="00B31F3D" w:rsidRDefault="0066275D" w:rsidP="009A37DA">
            <w:pPr>
              <w:pStyle w:val="ListParagraph"/>
              <w:numPr>
                <w:ilvl w:val="0"/>
                <w:numId w:val="11"/>
              </w:numPr>
              <w:ind w:left="458"/>
              <w:rPr>
                <w:rFonts w:cs="Arial"/>
                <w:szCs w:val="22"/>
              </w:rPr>
            </w:pPr>
            <w:r w:rsidRPr="0066275D">
              <w:rPr>
                <w:rFonts w:cs="Arial"/>
                <w:szCs w:val="22"/>
              </w:rPr>
              <w:t xml:space="preserve">Conservative versus interventional treatment for spontaneous pneumothorax. Brown et al </w:t>
            </w:r>
            <w:r w:rsidRPr="0066275D">
              <w:rPr>
                <w:rFonts w:cs="Arial"/>
                <w:shd w:val="clear" w:color="auto" w:fill="FFFFFF"/>
              </w:rPr>
              <w:t>N Engl</w:t>
            </w:r>
            <w:r w:rsidR="00334F49">
              <w:rPr>
                <w:rFonts w:cs="Arial"/>
                <w:shd w:val="clear" w:color="auto" w:fill="FFFFFF"/>
              </w:rPr>
              <w:t>and</w:t>
            </w:r>
            <w:r w:rsidRPr="0066275D">
              <w:rPr>
                <w:rFonts w:cs="Arial"/>
                <w:shd w:val="clear" w:color="auto" w:fill="FFFFFF"/>
              </w:rPr>
              <w:t xml:space="preserve"> J Med 2020; 382:405-415</w:t>
            </w:r>
            <w:r w:rsidRPr="0066275D">
              <w:rPr>
                <w:rFonts w:cs="Arial"/>
              </w:rPr>
              <w:br/>
            </w:r>
            <w:r w:rsidRPr="0066275D">
              <w:rPr>
                <w:rFonts w:cs="Arial"/>
                <w:shd w:val="clear" w:color="auto" w:fill="FFFFFF"/>
              </w:rPr>
              <w:t>DOI: 10.1056/NEJMoa1910775</w:t>
            </w:r>
          </w:p>
          <w:p w14:paraId="0E62C9BB" w14:textId="1712D94D" w:rsidR="00B31F3D" w:rsidRPr="002E4724" w:rsidRDefault="00B31F3D" w:rsidP="009A37DA">
            <w:pPr>
              <w:pStyle w:val="ListParagraph"/>
              <w:numPr>
                <w:ilvl w:val="0"/>
                <w:numId w:val="11"/>
              </w:numPr>
              <w:ind w:left="458"/>
              <w:rPr>
                <w:rFonts w:cs="Arial"/>
                <w:szCs w:val="22"/>
              </w:rPr>
            </w:pPr>
            <w:r w:rsidRPr="002E4724">
              <w:rPr>
                <w:rFonts w:cs="Arial"/>
                <w:color w:val="333333"/>
                <w:szCs w:val="22"/>
                <w:shd w:val="clear" w:color="auto" w:fill="FFFFFF"/>
              </w:rPr>
              <w:t xml:space="preserve">Management of spontaneous pneumothorax: British Thoracic Society pleural disease guideline 2010. MacDuff et al BMJ Thorax 2010 </w:t>
            </w:r>
            <w:r w:rsidRPr="002E4724">
              <w:rPr>
                <w:rFonts w:cs="Arial"/>
                <w:szCs w:val="22"/>
              </w:rPr>
              <w:t>DOI:10.1136/thx.2010.136</w:t>
            </w:r>
            <w:r w:rsidR="002E4724" w:rsidRPr="002E4724">
              <w:rPr>
                <w:rFonts w:cs="Arial"/>
                <w:szCs w:val="22"/>
              </w:rPr>
              <w:t>986</w:t>
            </w:r>
          </w:p>
        </w:tc>
      </w:tr>
      <w:tr w:rsidR="0000351F" w:rsidRPr="00300918" w14:paraId="6BCA4901" w14:textId="77777777" w:rsidTr="008D3382">
        <w:tc>
          <w:tcPr>
            <w:tcW w:w="2557" w:type="dxa"/>
          </w:tcPr>
          <w:p w14:paraId="37A5990C" w14:textId="77777777" w:rsidR="0000351F" w:rsidRPr="00300918" w:rsidRDefault="0000351F" w:rsidP="00974038">
            <w:pPr>
              <w:rPr>
                <w:rFonts w:cs="Arial"/>
                <w:b/>
              </w:rPr>
            </w:pPr>
            <w:r w:rsidRPr="00300918">
              <w:rPr>
                <w:rFonts w:cs="Arial"/>
                <w:b/>
              </w:rPr>
              <w:t>10. Consumer Advisory Group (CAG)</w:t>
            </w:r>
            <w:r w:rsidRPr="00300918">
              <w:rPr>
                <w:rFonts w:cs="Arial"/>
              </w:rPr>
              <w:t xml:space="preserve"> </w:t>
            </w:r>
            <w:r w:rsidR="00B47DBE">
              <w:rPr>
                <w:rFonts w:cs="Arial"/>
                <w:b/>
              </w:rPr>
              <w:t>A</w:t>
            </w:r>
            <w:r w:rsidRPr="005741FF">
              <w:rPr>
                <w:rFonts w:cs="Arial"/>
                <w:b/>
              </w:rPr>
              <w:t>pproval</w:t>
            </w:r>
          </w:p>
        </w:tc>
        <w:tc>
          <w:tcPr>
            <w:tcW w:w="7082" w:type="dxa"/>
          </w:tcPr>
          <w:p w14:paraId="1F8927D8" w14:textId="77777777" w:rsidR="00F00F52" w:rsidRPr="00300918" w:rsidRDefault="00F00F52" w:rsidP="0097403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Not Applicable</w:t>
            </w:r>
          </w:p>
        </w:tc>
      </w:tr>
      <w:tr w:rsidR="00551A08" w:rsidRPr="00300918" w14:paraId="5454B3A9" w14:textId="77777777" w:rsidTr="008D3382">
        <w:tc>
          <w:tcPr>
            <w:tcW w:w="2557" w:type="dxa"/>
          </w:tcPr>
          <w:p w14:paraId="4A5FACC4" w14:textId="77777777" w:rsidR="00551A08" w:rsidRPr="0036792C" w:rsidRDefault="00551A08" w:rsidP="00974038">
            <w:pPr>
              <w:rPr>
                <w:rFonts w:cs="Arial"/>
                <w:b/>
                <w:highlight w:val="yellow"/>
              </w:rPr>
            </w:pPr>
            <w:r w:rsidRPr="00B35C5F">
              <w:rPr>
                <w:rFonts w:cs="Arial"/>
                <w:b/>
              </w:rPr>
              <w:t>11. Aboriginal Health Impact Statement</w:t>
            </w:r>
          </w:p>
        </w:tc>
        <w:tc>
          <w:tcPr>
            <w:tcW w:w="7082" w:type="dxa"/>
          </w:tcPr>
          <w:p w14:paraId="7244CC0B" w14:textId="53CDA239" w:rsidR="004A3A49" w:rsidRPr="00F2066B" w:rsidRDefault="00126B31" w:rsidP="00F2066B">
            <w:pPr>
              <w:autoSpaceDE w:val="0"/>
              <w:autoSpaceDN w:val="0"/>
              <w:adjustRightInd w:val="0"/>
              <w:ind w:firstLine="29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365668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68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 w:rsidR="00D707B3">
              <w:rPr>
                <w:rFonts w:cs="Arial"/>
                <w:szCs w:val="22"/>
              </w:rPr>
              <w:t xml:space="preserve"> </w:t>
            </w:r>
            <w:r w:rsidR="00243003" w:rsidRPr="00CE0D07">
              <w:rPr>
                <w:rFonts w:cs="Arial"/>
                <w:szCs w:val="22"/>
              </w:rPr>
              <w:t>The Aboriginal Health Impact Statement does not require completion because there is no direct or indirect impact on Aboriginal people</w:t>
            </w:r>
            <w:r w:rsidR="00A66D08">
              <w:rPr>
                <w:rFonts w:cs="Arial"/>
                <w:szCs w:val="22"/>
              </w:rPr>
              <w:t>.</w:t>
            </w:r>
            <w:r w:rsidR="00243003" w:rsidRPr="00CE0D07">
              <w:rPr>
                <w:rFonts w:cs="Arial"/>
                <w:szCs w:val="22"/>
              </w:rPr>
              <w:t xml:space="preserve"> </w:t>
            </w:r>
            <w:r w:rsidR="00F2066B">
              <w:t>This document is clinical and relates to all population groups.</w:t>
            </w:r>
          </w:p>
        </w:tc>
      </w:tr>
      <w:tr w:rsidR="0000351F" w:rsidRPr="00300918" w14:paraId="07394E04" w14:textId="77777777" w:rsidTr="008D3382">
        <w:trPr>
          <w:trHeight w:val="796"/>
        </w:trPr>
        <w:tc>
          <w:tcPr>
            <w:tcW w:w="2557" w:type="dxa"/>
          </w:tcPr>
          <w:p w14:paraId="507D495D" w14:textId="77777777" w:rsidR="0000351F" w:rsidRPr="00510320" w:rsidRDefault="0000351F" w:rsidP="00974038">
            <w:pPr>
              <w:rPr>
                <w:rFonts w:cs="Arial"/>
                <w:b/>
              </w:rPr>
            </w:pPr>
            <w:r w:rsidRPr="00300918">
              <w:rPr>
                <w:rFonts w:cs="Arial"/>
                <w:b/>
              </w:rPr>
              <w:t>1</w:t>
            </w:r>
            <w:r w:rsidR="00551A08">
              <w:rPr>
                <w:rFonts w:cs="Arial"/>
                <w:b/>
              </w:rPr>
              <w:t>2</w:t>
            </w:r>
            <w:r w:rsidRPr="00300918">
              <w:rPr>
                <w:rFonts w:cs="Arial"/>
                <w:b/>
              </w:rPr>
              <w:t>. Implementation and Evaluation Plan</w:t>
            </w:r>
          </w:p>
        </w:tc>
        <w:tc>
          <w:tcPr>
            <w:tcW w:w="7082" w:type="dxa"/>
          </w:tcPr>
          <w:p w14:paraId="1FDD4249" w14:textId="403D6870" w:rsidR="00F2066B" w:rsidRDefault="00510320" w:rsidP="00510320">
            <w:r w:rsidRPr="00947DEF">
              <w:rPr>
                <w:rFonts w:cs="Arial"/>
                <w:b/>
                <w:szCs w:val="22"/>
              </w:rPr>
              <w:t>Implementation:</w:t>
            </w:r>
            <w:r w:rsidR="0094606F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The document will </w:t>
            </w:r>
            <w:proofErr w:type="gramStart"/>
            <w:r>
              <w:rPr>
                <w:rFonts w:cs="Arial"/>
                <w:szCs w:val="22"/>
              </w:rPr>
              <w:t>be published</w:t>
            </w:r>
            <w:proofErr w:type="gramEnd"/>
            <w:r>
              <w:rPr>
                <w:rFonts w:cs="Arial"/>
                <w:szCs w:val="22"/>
              </w:rPr>
              <w:t xml:space="preserve"> on the SGH-TSH business rule webpage and distributed via the monthly SGH-TSH CGD report.</w:t>
            </w:r>
            <w:r w:rsidR="00F2066B">
              <w:t xml:space="preserve"> Distribution to Emergency Registrars and Consultants</w:t>
            </w:r>
            <w:r w:rsidR="0085282E">
              <w:t>, Respiratory and General Medicine physicians</w:t>
            </w:r>
            <w:r w:rsidR="00F2066B">
              <w:t xml:space="preserve"> </w:t>
            </w:r>
          </w:p>
          <w:p w14:paraId="4DD1DDDD" w14:textId="0644A0C6" w:rsidR="009D4940" w:rsidRPr="00F2066B" w:rsidRDefault="00F2066B" w:rsidP="00510320">
            <w:pPr>
              <w:rPr>
                <w:rFonts w:cs="Arial"/>
                <w:szCs w:val="22"/>
              </w:rPr>
            </w:pPr>
            <w:r w:rsidRPr="00F2066B">
              <w:rPr>
                <w:b/>
                <w:bCs/>
              </w:rPr>
              <w:t>Evaluation</w:t>
            </w:r>
            <w:r>
              <w:t xml:space="preserve">: Clinical audit to </w:t>
            </w:r>
            <w:proofErr w:type="gramStart"/>
            <w:r>
              <w:t>be performed</w:t>
            </w:r>
            <w:proofErr w:type="gramEnd"/>
            <w:r>
              <w:t xml:space="preserve"> prior to and after the implementation of the CBR to assess the impact</w:t>
            </w:r>
          </w:p>
        </w:tc>
      </w:tr>
      <w:tr w:rsidR="0000351F" w:rsidRPr="00300918" w14:paraId="0FCB8313" w14:textId="77777777" w:rsidTr="008D3382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40E" w14:textId="77777777" w:rsidR="0000351F" w:rsidRPr="00300918" w:rsidRDefault="0000351F" w:rsidP="00974038">
            <w:pPr>
              <w:rPr>
                <w:rFonts w:cs="Arial"/>
                <w:b/>
              </w:rPr>
            </w:pPr>
            <w:r w:rsidRPr="00300918">
              <w:rPr>
                <w:rFonts w:cs="Arial"/>
                <w:b/>
              </w:rPr>
              <w:t>1</w:t>
            </w:r>
            <w:r w:rsidR="00551A08">
              <w:rPr>
                <w:rFonts w:cs="Arial"/>
                <w:b/>
              </w:rPr>
              <w:t>3</w:t>
            </w:r>
            <w:r w:rsidRPr="00300918">
              <w:rPr>
                <w:rFonts w:cs="Arial"/>
                <w:b/>
              </w:rPr>
              <w:t>. Knowledge Evaluation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641B" w14:textId="7326CE8F" w:rsidR="0000351F" w:rsidRPr="00B32C58" w:rsidRDefault="0000351F" w:rsidP="00974038">
            <w:pPr>
              <w:rPr>
                <w:rFonts w:cs="Arial"/>
                <w:b/>
                <w:szCs w:val="22"/>
              </w:rPr>
            </w:pPr>
            <w:r w:rsidRPr="00B32C58">
              <w:rPr>
                <w:rFonts w:cs="Arial"/>
                <w:b/>
                <w:szCs w:val="22"/>
              </w:rPr>
              <w:t>Q1:</w:t>
            </w:r>
            <w:r w:rsidR="003A30B1">
              <w:rPr>
                <w:rFonts w:cs="Arial"/>
                <w:b/>
                <w:szCs w:val="22"/>
              </w:rPr>
              <w:t xml:space="preserve"> Can primary spontaneous pneumothorax </w:t>
            </w:r>
            <w:proofErr w:type="gramStart"/>
            <w:r w:rsidR="003A30B1">
              <w:rPr>
                <w:rFonts w:cs="Arial"/>
                <w:b/>
                <w:szCs w:val="22"/>
              </w:rPr>
              <w:t>be treated</w:t>
            </w:r>
            <w:proofErr w:type="gramEnd"/>
            <w:r w:rsidR="003A30B1">
              <w:rPr>
                <w:rFonts w:cs="Arial"/>
                <w:b/>
                <w:szCs w:val="22"/>
              </w:rPr>
              <w:t xml:space="preserve"> conservatively?</w:t>
            </w:r>
          </w:p>
          <w:p w14:paraId="37570D4A" w14:textId="760D356F" w:rsidR="0000351F" w:rsidRPr="00F732D6" w:rsidRDefault="00F732D6" w:rsidP="00974038">
            <w:pPr>
              <w:ind w:left="283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A1:</w:t>
            </w:r>
            <w:r w:rsidR="003A30B1">
              <w:rPr>
                <w:rFonts w:cs="Arial"/>
                <w:i/>
                <w:szCs w:val="22"/>
              </w:rPr>
              <w:t xml:space="preserve"> If a patient is stable and does not have any exclusion criteria conservative management is an appropriate treatment strategy</w:t>
            </w:r>
          </w:p>
          <w:p w14:paraId="21A5B38A" w14:textId="34BA21C3" w:rsidR="0000351F" w:rsidRPr="00B32C58" w:rsidRDefault="0000351F" w:rsidP="00974038">
            <w:pPr>
              <w:rPr>
                <w:rFonts w:cs="Arial"/>
                <w:b/>
                <w:szCs w:val="22"/>
              </w:rPr>
            </w:pPr>
            <w:r w:rsidRPr="00B32C58">
              <w:rPr>
                <w:rFonts w:cs="Arial"/>
                <w:b/>
                <w:szCs w:val="22"/>
              </w:rPr>
              <w:t>Q2:</w:t>
            </w:r>
            <w:r w:rsidR="003A30B1">
              <w:rPr>
                <w:rFonts w:cs="Arial"/>
                <w:b/>
                <w:szCs w:val="22"/>
              </w:rPr>
              <w:t xml:space="preserve"> What treatment should </w:t>
            </w:r>
            <w:proofErr w:type="gramStart"/>
            <w:r w:rsidR="003A30B1">
              <w:rPr>
                <w:rFonts w:cs="Arial"/>
                <w:b/>
                <w:szCs w:val="22"/>
              </w:rPr>
              <w:t>be given</w:t>
            </w:r>
            <w:proofErr w:type="gramEnd"/>
            <w:r w:rsidR="003A30B1">
              <w:rPr>
                <w:rFonts w:cs="Arial"/>
                <w:b/>
                <w:szCs w:val="22"/>
              </w:rPr>
              <w:t xml:space="preserve"> if a patient is clinically unstable or deteriorates?</w:t>
            </w:r>
          </w:p>
          <w:p w14:paraId="6CE57EEF" w14:textId="4C5A164F" w:rsidR="0000351F" w:rsidRPr="00F732D6" w:rsidRDefault="00F732D6" w:rsidP="00974038">
            <w:pPr>
              <w:ind w:left="283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A2:</w:t>
            </w:r>
            <w:r w:rsidR="003A30B1">
              <w:rPr>
                <w:rFonts w:cs="Arial"/>
                <w:i/>
                <w:szCs w:val="22"/>
              </w:rPr>
              <w:t xml:space="preserve"> In clinically unstable patients a </w:t>
            </w:r>
            <w:r w:rsidR="00334F49">
              <w:rPr>
                <w:rFonts w:cs="Arial"/>
                <w:i/>
                <w:szCs w:val="22"/>
              </w:rPr>
              <w:t>pleural</w:t>
            </w:r>
            <w:r w:rsidR="003A30B1">
              <w:rPr>
                <w:rFonts w:cs="Arial"/>
                <w:i/>
                <w:szCs w:val="22"/>
              </w:rPr>
              <w:t xml:space="preserve"> drain should </w:t>
            </w:r>
            <w:proofErr w:type="gramStart"/>
            <w:r w:rsidR="003A30B1">
              <w:rPr>
                <w:rFonts w:cs="Arial"/>
                <w:i/>
                <w:szCs w:val="22"/>
              </w:rPr>
              <w:t>be inserted</w:t>
            </w:r>
            <w:proofErr w:type="gramEnd"/>
            <w:r w:rsidR="003A30B1">
              <w:rPr>
                <w:rFonts w:cs="Arial"/>
                <w:i/>
                <w:szCs w:val="22"/>
              </w:rPr>
              <w:t xml:space="preserve"> by an appropriately trained senior doctor and the patient admitted under Respiratory medicine</w:t>
            </w:r>
          </w:p>
          <w:p w14:paraId="2C8DB2DE" w14:textId="26B2CEF4" w:rsidR="003A30B1" w:rsidRDefault="0000351F" w:rsidP="003A30B1">
            <w:pPr>
              <w:rPr>
                <w:rFonts w:cs="Arial"/>
                <w:b/>
                <w:szCs w:val="22"/>
              </w:rPr>
            </w:pPr>
            <w:r w:rsidRPr="00B32C58">
              <w:rPr>
                <w:rFonts w:cs="Arial"/>
                <w:b/>
                <w:szCs w:val="22"/>
              </w:rPr>
              <w:t>Q3:</w:t>
            </w:r>
            <w:r w:rsidR="003A30B1">
              <w:rPr>
                <w:rFonts w:cs="Arial"/>
                <w:b/>
                <w:szCs w:val="22"/>
              </w:rPr>
              <w:t xml:space="preserve"> Will all patients with primary spontaneous pneumothorax who receive conservative treatment make a full recovery?</w:t>
            </w:r>
          </w:p>
          <w:p w14:paraId="2A8A1EC7" w14:textId="266E33BF" w:rsidR="0000351F" w:rsidRPr="00300918" w:rsidRDefault="0000351F" w:rsidP="003A30B1">
            <w:pPr>
              <w:rPr>
                <w:rFonts w:cs="Arial"/>
                <w:i/>
                <w:szCs w:val="22"/>
              </w:rPr>
            </w:pPr>
            <w:r w:rsidRPr="00300918">
              <w:rPr>
                <w:rFonts w:cs="Arial"/>
                <w:i/>
                <w:szCs w:val="22"/>
              </w:rPr>
              <w:t xml:space="preserve">A3: </w:t>
            </w:r>
            <w:r w:rsidR="003A30B1">
              <w:rPr>
                <w:rFonts w:cs="Arial"/>
                <w:i/>
                <w:szCs w:val="22"/>
              </w:rPr>
              <w:t xml:space="preserve">A proportion of patients managed conservatively will require a pleural drain insertion because of clinical progression or deterioration. It is important the patient has appropriate follow up and </w:t>
            </w:r>
            <w:proofErr w:type="gramStart"/>
            <w:r w:rsidR="003A30B1">
              <w:rPr>
                <w:rFonts w:cs="Arial"/>
                <w:i/>
                <w:szCs w:val="22"/>
              </w:rPr>
              <w:t>is able to</w:t>
            </w:r>
            <w:proofErr w:type="gramEnd"/>
            <w:r w:rsidR="003A30B1">
              <w:rPr>
                <w:rFonts w:cs="Arial"/>
                <w:i/>
                <w:szCs w:val="22"/>
              </w:rPr>
              <w:t xml:space="preserve"> reattend ED if they become more unwell</w:t>
            </w:r>
          </w:p>
        </w:tc>
      </w:tr>
      <w:tr w:rsidR="0000351F" w:rsidRPr="00300918" w14:paraId="226CAD83" w14:textId="77777777" w:rsidTr="008D3382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E05" w14:textId="77777777" w:rsidR="0000351F" w:rsidRPr="00300918" w:rsidRDefault="0000351F" w:rsidP="00974038">
            <w:pPr>
              <w:rPr>
                <w:rFonts w:cs="Arial"/>
                <w:b/>
              </w:rPr>
            </w:pPr>
            <w:r w:rsidRPr="00300918">
              <w:rPr>
                <w:rFonts w:cs="Arial"/>
                <w:b/>
              </w:rPr>
              <w:t>1</w:t>
            </w:r>
            <w:r w:rsidR="00551A08">
              <w:rPr>
                <w:rFonts w:cs="Arial"/>
                <w:b/>
              </w:rPr>
              <w:t>4</w:t>
            </w:r>
            <w:r w:rsidRPr="00300918">
              <w:rPr>
                <w:rFonts w:cs="Arial"/>
                <w:b/>
              </w:rPr>
              <w:t xml:space="preserve">. Who is Responsible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F8C" w14:textId="55D93BEC" w:rsidR="0000351F" w:rsidRPr="00767C6D" w:rsidRDefault="00962C7A" w:rsidP="0074605E">
            <w:pPr>
              <w:rPr>
                <w:rFonts w:cs="Arial"/>
                <w:color w:val="3366FF"/>
                <w:szCs w:val="22"/>
              </w:rPr>
            </w:pPr>
            <w:r>
              <w:t>Director of Emergency Department TSH</w:t>
            </w:r>
          </w:p>
        </w:tc>
      </w:tr>
    </w:tbl>
    <w:p w14:paraId="3E49314A" w14:textId="22E6C689" w:rsidR="007F60AB" w:rsidRDefault="007F60AB" w:rsidP="00974038">
      <w:pPr>
        <w:rPr>
          <w:rFonts w:cs="Arial"/>
          <w:szCs w:val="22"/>
        </w:rPr>
      </w:pPr>
    </w:p>
    <w:p w14:paraId="0A5B2C65" w14:textId="66C2E220" w:rsidR="00DA4D31" w:rsidRDefault="00DA4D31" w:rsidP="00974038">
      <w:pPr>
        <w:rPr>
          <w:rFonts w:cs="Arial"/>
          <w:szCs w:val="22"/>
        </w:rPr>
      </w:pPr>
    </w:p>
    <w:p w14:paraId="5D69D1BF" w14:textId="5F9F94A5" w:rsidR="00DA4D31" w:rsidRDefault="00DA4D31" w:rsidP="00974038">
      <w:pPr>
        <w:rPr>
          <w:rFonts w:cs="Arial"/>
          <w:szCs w:val="22"/>
        </w:rPr>
      </w:pPr>
    </w:p>
    <w:p w14:paraId="08165D67" w14:textId="77777777" w:rsidR="00DA4D31" w:rsidRPr="00300918" w:rsidRDefault="00DA4D31" w:rsidP="00974038">
      <w:pPr>
        <w:rPr>
          <w:rFonts w:cs="Arial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6744"/>
      </w:tblGrid>
      <w:tr w:rsidR="00440BC4" w:rsidRPr="00300918" w14:paraId="7DCF0E84" w14:textId="77777777" w:rsidTr="008D3382">
        <w:trPr>
          <w:trHeight w:val="304"/>
        </w:trPr>
        <w:tc>
          <w:tcPr>
            <w:tcW w:w="9639" w:type="dxa"/>
            <w:gridSpan w:val="2"/>
            <w:shd w:val="clear" w:color="auto" w:fill="D9D9D9"/>
          </w:tcPr>
          <w:p w14:paraId="18F4AE4A" w14:textId="461245A3" w:rsidR="00440BC4" w:rsidRPr="0085282E" w:rsidRDefault="00D92077" w:rsidP="0074605E">
            <w:pPr>
              <w:numPr>
                <w:ilvl w:val="0"/>
                <w:numId w:val="5"/>
              </w:numPr>
              <w:rPr>
                <w:rFonts w:cs="Arial"/>
                <w:b/>
                <w:bCs/>
                <w:caps/>
                <w:szCs w:val="22"/>
              </w:rPr>
            </w:pPr>
            <w:bookmarkStart w:id="1" w:name="_Hlk106196553"/>
            <w:r w:rsidRPr="00300918">
              <w:rPr>
                <w:rFonts w:cs="Arial"/>
                <w:b/>
              </w:rPr>
              <w:lastRenderedPageBreak/>
              <w:t>Approval for</w:t>
            </w:r>
            <w:r w:rsidR="000321A0" w:rsidRPr="00300918">
              <w:rPr>
                <w:rFonts w:cs="Arial"/>
              </w:rPr>
              <w:t>:</w:t>
            </w:r>
            <w:r w:rsidRPr="00300918">
              <w:rPr>
                <w:rFonts w:cs="Arial"/>
              </w:rPr>
              <w:t xml:space="preserve"> </w:t>
            </w:r>
            <w:r w:rsidR="0085282E" w:rsidRPr="00F2066B">
              <w:rPr>
                <w:rFonts w:cs="Arial"/>
                <w:b/>
                <w:bCs/>
                <w:caps/>
                <w:szCs w:val="22"/>
              </w:rPr>
              <w:t xml:space="preserve">Management of </w:t>
            </w:r>
            <w:r w:rsidR="0085282E">
              <w:rPr>
                <w:rFonts w:cs="Arial"/>
                <w:b/>
                <w:bCs/>
                <w:caps/>
                <w:szCs w:val="22"/>
              </w:rPr>
              <w:t xml:space="preserve">PRIMARY </w:t>
            </w:r>
            <w:r w:rsidR="0085282E" w:rsidRPr="00F2066B">
              <w:rPr>
                <w:rFonts w:cs="Arial"/>
                <w:b/>
                <w:bCs/>
                <w:caps/>
                <w:szCs w:val="22"/>
              </w:rPr>
              <w:t xml:space="preserve">Spontaneous Pneumothorax </w:t>
            </w:r>
            <w:r w:rsidR="0085282E">
              <w:rPr>
                <w:rFonts w:cs="Arial"/>
                <w:b/>
                <w:bCs/>
                <w:caps/>
                <w:szCs w:val="22"/>
              </w:rPr>
              <w:t>PRESENTING TO</w:t>
            </w:r>
            <w:r w:rsidR="0085282E" w:rsidRPr="00F2066B">
              <w:rPr>
                <w:rFonts w:cs="Arial"/>
                <w:b/>
                <w:bCs/>
                <w:caps/>
                <w:szCs w:val="22"/>
              </w:rPr>
              <w:t xml:space="preserve"> Sutherland Emergency Department</w:t>
            </w:r>
          </w:p>
        </w:tc>
      </w:tr>
      <w:tr w:rsidR="00353772" w:rsidRPr="00300918" w14:paraId="75B1246C" w14:textId="77777777" w:rsidTr="008D3382">
        <w:trPr>
          <w:trHeight w:val="704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11D" w14:textId="77777777" w:rsidR="00353772" w:rsidRPr="00300918" w:rsidRDefault="00353772" w:rsidP="00974038">
            <w:pPr>
              <w:rPr>
                <w:rFonts w:cs="Arial"/>
                <w:b/>
              </w:rPr>
            </w:pPr>
            <w:r w:rsidRPr="00300918">
              <w:rPr>
                <w:rFonts w:cs="Arial"/>
                <w:b/>
              </w:rPr>
              <w:t>Nurse Manager</w:t>
            </w:r>
            <w:r w:rsidR="004F24A3">
              <w:rPr>
                <w:rFonts w:cs="Arial"/>
                <w:b/>
              </w:rPr>
              <w:t xml:space="preserve"> / Co-Director</w:t>
            </w:r>
            <w:r w:rsidRPr="00300918">
              <w:rPr>
                <w:rFonts w:cs="Arial"/>
                <w:b/>
              </w:rPr>
              <w:t xml:space="preserve"> (TSH)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B2C" w14:textId="58A11B7A" w:rsidR="00353772" w:rsidRPr="00300918" w:rsidRDefault="00962C7A" w:rsidP="00974038">
            <w:pPr>
              <w:rPr>
                <w:rFonts w:cs="Arial"/>
                <w:szCs w:val="22"/>
              </w:rPr>
            </w:pPr>
            <w:r w:rsidRPr="00962C7A">
              <w:rPr>
                <w:rFonts w:cs="Arial"/>
                <w:bCs/>
              </w:rPr>
              <w:t xml:space="preserve">Elizabeth </w:t>
            </w:r>
            <w:proofErr w:type="spellStart"/>
            <w:r w:rsidRPr="00962C7A">
              <w:rPr>
                <w:rFonts w:cs="Arial"/>
                <w:bCs/>
              </w:rPr>
              <w:t>Burd</w:t>
            </w:r>
            <w:proofErr w:type="spellEnd"/>
            <w:r>
              <w:rPr>
                <w:rFonts w:cs="Arial"/>
                <w:bCs/>
              </w:rPr>
              <w:t xml:space="preserve">, </w:t>
            </w:r>
            <w:r>
              <w:t>Nurse Manager Emergency Department TSH</w:t>
            </w:r>
          </w:p>
          <w:p w14:paraId="272947B8" w14:textId="728DE4DA" w:rsidR="00353772" w:rsidRPr="00300918" w:rsidRDefault="00353772" w:rsidP="00974038">
            <w:pPr>
              <w:rPr>
                <w:rFonts w:cs="Arial"/>
                <w:szCs w:val="22"/>
                <w:lang w:eastAsia="en-US"/>
              </w:rPr>
            </w:pPr>
            <w:r w:rsidRPr="00300918">
              <w:rPr>
                <w:rFonts w:cs="Arial"/>
                <w:szCs w:val="22"/>
                <w:lang w:eastAsia="en-US"/>
              </w:rPr>
              <w:t>Signature</w:t>
            </w:r>
            <w:r w:rsidR="00D30725">
              <w:rPr>
                <w:rFonts w:cs="Arial"/>
                <w:szCs w:val="22"/>
                <w:lang w:eastAsia="en-US"/>
              </w:rPr>
              <w:t>:</w:t>
            </w:r>
            <w:r w:rsidRPr="00300918">
              <w:rPr>
                <w:rFonts w:cs="Arial"/>
                <w:szCs w:val="22"/>
                <w:lang w:eastAsia="en-US"/>
              </w:rPr>
              <w:tab/>
            </w:r>
            <w:r w:rsidRPr="00300918">
              <w:rPr>
                <w:rFonts w:cs="Arial"/>
                <w:szCs w:val="22"/>
                <w:lang w:eastAsia="en-US"/>
              </w:rPr>
              <w:tab/>
            </w:r>
            <w:r w:rsidRPr="00300918">
              <w:rPr>
                <w:rFonts w:cs="Arial"/>
                <w:szCs w:val="22"/>
                <w:lang w:eastAsia="en-US"/>
              </w:rPr>
              <w:tab/>
              <w:t>Date</w:t>
            </w:r>
          </w:p>
        </w:tc>
      </w:tr>
      <w:tr w:rsidR="00353772" w:rsidRPr="00300918" w14:paraId="68B05360" w14:textId="77777777" w:rsidTr="008D3382">
        <w:trPr>
          <w:trHeight w:val="72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2B44" w14:textId="77777777" w:rsidR="00353772" w:rsidRPr="00300918" w:rsidRDefault="00353772" w:rsidP="00974038">
            <w:pPr>
              <w:rPr>
                <w:rFonts w:cs="Arial"/>
                <w:b/>
              </w:rPr>
            </w:pPr>
            <w:r w:rsidRPr="00300918">
              <w:rPr>
                <w:rFonts w:cs="Arial"/>
                <w:b/>
              </w:rPr>
              <w:t>Medical Head of Department (TSH)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982A" w14:textId="5F497A96" w:rsidR="00353772" w:rsidRPr="00300918" w:rsidRDefault="00962C7A" w:rsidP="00974038">
            <w:pPr>
              <w:rPr>
                <w:rFonts w:cs="Arial"/>
                <w:szCs w:val="22"/>
              </w:rPr>
            </w:pPr>
            <w:r>
              <w:t>Oliver Barrett, Acting Director Emergency Department TSH</w:t>
            </w:r>
            <w:r w:rsidR="00F00F52">
              <w:rPr>
                <w:rFonts w:cs="Arial"/>
                <w:bCs/>
                <w:color w:val="0066FF"/>
              </w:rPr>
              <w:t>:</w:t>
            </w:r>
            <w:r w:rsidR="00F00F52" w:rsidRPr="00F00F52">
              <w:rPr>
                <w:rFonts w:cs="Arial"/>
                <w:bCs/>
              </w:rPr>
              <w:t xml:space="preserve"> </w:t>
            </w:r>
          </w:p>
          <w:p w14:paraId="7DD8292B" w14:textId="6D2B3054" w:rsidR="00353772" w:rsidRPr="00300918" w:rsidRDefault="00353772" w:rsidP="00974038">
            <w:pPr>
              <w:rPr>
                <w:rFonts w:cs="Arial"/>
                <w:szCs w:val="22"/>
                <w:lang w:eastAsia="en-US"/>
              </w:rPr>
            </w:pPr>
            <w:r w:rsidRPr="00300918">
              <w:rPr>
                <w:rFonts w:cs="Arial"/>
                <w:szCs w:val="22"/>
                <w:lang w:eastAsia="en-US"/>
              </w:rPr>
              <w:t>Signature</w:t>
            </w:r>
            <w:r w:rsidR="00D30725">
              <w:rPr>
                <w:rFonts w:cs="Arial"/>
                <w:szCs w:val="22"/>
                <w:lang w:eastAsia="en-US"/>
              </w:rPr>
              <w:t>:</w:t>
            </w:r>
            <w:r w:rsidRPr="00300918">
              <w:rPr>
                <w:rFonts w:cs="Arial"/>
                <w:szCs w:val="22"/>
                <w:lang w:eastAsia="en-US"/>
              </w:rPr>
              <w:tab/>
            </w:r>
            <w:r w:rsidRPr="00300918">
              <w:rPr>
                <w:rFonts w:cs="Arial"/>
                <w:szCs w:val="22"/>
                <w:lang w:eastAsia="en-US"/>
              </w:rPr>
              <w:tab/>
            </w:r>
            <w:r w:rsidRPr="00300918">
              <w:rPr>
                <w:rFonts w:cs="Arial"/>
                <w:szCs w:val="22"/>
                <w:lang w:eastAsia="en-US"/>
              </w:rPr>
              <w:tab/>
              <w:t>Date:</w:t>
            </w:r>
            <w:r w:rsidR="00264849">
              <w:rPr>
                <w:rFonts w:cs="Arial"/>
                <w:szCs w:val="22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2"/>
                  <w:lang w:eastAsia="en-US"/>
                </w:rPr>
                <w:id w:val="178326670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64849" w:rsidRPr="0071498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53772" w:rsidRPr="00300918" w14:paraId="3B62B5FA" w14:textId="77777777" w:rsidTr="008D3382">
        <w:trPr>
          <w:trHeight w:val="704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88D6" w14:textId="77777777" w:rsidR="00353772" w:rsidRPr="00300918" w:rsidRDefault="00353772" w:rsidP="00974038">
            <w:pPr>
              <w:rPr>
                <w:rFonts w:cs="Arial"/>
                <w:b/>
              </w:rPr>
            </w:pPr>
            <w:r w:rsidRPr="00300918">
              <w:rPr>
                <w:rFonts w:cs="Arial"/>
                <w:b/>
              </w:rPr>
              <w:t xml:space="preserve">Executive Sponsor </w:t>
            </w:r>
            <w:r w:rsidR="0074605E">
              <w:rPr>
                <w:rFonts w:cs="Arial"/>
                <w:b/>
              </w:rPr>
              <w:t>/ s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526" w14:textId="1697BC07" w:rsidR="00962C7A" w:rsidRPr="00300918" w:rsidRDefault="00F91136" w:rsidP="00962C7A">
            <w:pPr>
              <w:rPr>
                <w:rFonts w:cs="Arial"/>
                <w:szCs w:val="22"/>
              </w:rPr>
            </w:pPr>
            <w:r>
              <w:rPr>
                <w:rFonts w:cs="Arial"/>
                <w:bCs/>
              </w:rPr>
              <w:t>Leanne Horvat</w:t>
            </w:r>
            <w:r w:rsidR="00126B31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 xml:space="preserve"> </w:t>
            </w:r>
            <w:r w:rsidR="00962C7A">
              <w:rPr>
                <w:rFonts w:cs="Arial"/>
                <w:bCs/>
              </w:rPr>
              <w:t xml:space="preserve"> </w:t>
            </w:r>
            <w:r>
              <w:t>Co-Director Nursing &amp; Operations</w:t>
            </w:r>
            <w:r w:rsidR="00962C7A">
              <w:t xml:space="preserve"> TSH</w:t>
            </w:r>
          </w:p>
          <w:p w14:paraId="78965C60" w14:textId="12C4083D" w:rsidR="00353772" w:rsidRPr="00300918" w:rsidRDefault="00353772" w:rsidP="00974038">
            <w:pPr>
              <w:rPr>
                <w:rFonts w:cs="Arial"/>
                <w:szCs w:val="22"/>
              </w:rPr>
            </w:pPr>
            <w:r w:rsidRPr="00300918">
              <w:rPr>
                <w:rFonts w:cs="Arial"/>
                <w:szCs w:val="22"/>
              </w:rPr>
              <w:t>Signature</w:t>
            </w:r>
            <w:r w:rsidR="00D30725">
              <w:rPr>
                <w:rFonts w:cs="Arial"/>
                <w:szCs w:val="22"/>
              </w:rPr>
              <w:t>:</w:t>
            </w:r>
            <w:r w:rsidRPr="00300918">
              <w:rPr>
                <w:rFonts w:cs="Arial"/>
                <w:szCs w:val="22"/>
              </w:rPr>
              <w:tab/>
            </w:r>
            <w:r w:rsidRPr="00300918">
              <w:rPr>
                <w:rFonts w:cs="Arial"/>
                <w:szCs w:val="22"/>
              </w:rPr>
              <w:tab/>
            </w:r>
            <w:r w:rsidRPr="00300918">
              <w:rPr>
                <w:rFonts w:cs="Arial"/>
                <w:szCs w:val="22"/>
              </w:rPr>
              <w:tab/>
              <w:t>Date:</w:t>
            </w:r>
            <w:r w:rsidR="0026484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9756148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64849" w:rsidRPr="0071498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4152F" w:rsidRPr="00300918" w14:paraId="2D04A6D9" w14:textId="77777777" w:rsidTr="000B4757">
        <w:trPr>
          <w:trHeight w:val="6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C0F43" w14:textId="77777777" w:rsidR="00C4152F" w:rsidRPr="00300918" w:rsidRDefault="00C4152F" w:rsidP="00974038">
            <w:pPr>
              <w:rPr>
                <w:rFonts w:cs="Arial"/>
                <w:b/>
              </w:rPr>
            </w:pPr>
            <w:r w:rsidRPr="00300918">
              <w:rPr>
                <w:rFonts w:cs="Arial"/>
                <w:b/>
              </w:rPr>
              <w:t xml:space="preserve">Contributors to </w:t>
            </w:r>
            <w:r w:rsidR="00600050">
              <w:rPr>
                <w:rFonts w:cs="Arial"/>
                <w:b/>
              </w:rPr>
              <w:t>B</w:t>
            </w:r>
            <w:r w:rsidR="005B428B">
              <w:rPr>
                <w:rFonts w:cs="Arial"/>
                <w:b/>
              </w:rPr>
              <w:t>R</w:t>
            </w:r>
            <w:r w:rsidRPr="00300918">
              <w:rPr>
                <w:rFonts w:cs="Arial"/>
                <w:b/>
              </w:rPr>
              <w:t xml:space="preserve"> </w:t>
            </w:r>
          </w:p>
          <w:p w14:paraId="7F125634" w14:textId="6EB5D2F5" w:rsidR="00C4152F" w:rsidRPr="00300918" w:rsidRDefault="00C4152F" w:rsidP="004714FA">
            <w:pPr>
              <w:rPr>
                <w:rFonts w:cs="Arial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ACCE" w14:textId="538AD0DE" w:rsidR="00600050" w:rsidRDefault="00600050" w:rsidP="00600050">
            <w:pPr>
              <w:rPr>
                <w:rFonts w:cs="Arial"/>
                <w:sz w:val="20"/>
                <w:szCs w:val="22"/>
              </w:rPr>
            </w:pPr>
            <w:r w:rsidRPr="00300918">
              <w:rPr>
                <w:rFonts w:cs="Arial"/>
                <w:b/>
                <w:sz w:val="20"/>
                <w:szCs w:val="22"/>
              </w:rPr>
              <w:t>Contribution</w:t>
            </w:r>
            <w:r>
              <w:rPr>
                <w:rFonts w:cs="Arial"/>
                <w:sz w:val="20"/>
                <w:szCs w:val="22"/>
              </w:rPr>
              <w:t xml:space="preserve"> </w:t>
            </w:r>
          </w:p>
          <w:p w14:paraId="243F574B" w14:textId="52C13815" w:rsidR="00600050" w:rsidRPr="00D83A78" w:rsidRDefault="00C4148F" w:rsidP="00974038">
            <w:pPr>
              <w:rPr>
                <w:rFonts w:cs="Arial"/>
                <w:bCs/>
                <w:color w:val="0066FF"/>
                <w:sz w:val="20"/>
              </w:rPr>
            </w:pPr>
            <w:r>
              <w:t>Todd Steggles, Staff Specialist Emergency Department TSH</w:t>
            </w:r>
          </w:p>
        </w:tc>
      </w:tr>
      <w:tr w:rsidR="00C4152F" w:rsidRPr="00300918" w14:paraId="40525B4F" w14:textId="77777777" w:rsidTr="008D3382">
        <w:trPr>
          <w:trHeight w:val="630"/>
        </w:trPr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9B11" w14:textId="77777777" w:rsidR="00C4152F" w:rsidRPr="00300918" w:rsidRDefault="00C4152F" w:rsidP="00974038">
            <w:pPr>
              <w:pStyle w:val="Heading3"/>
              <w:rPr>
                <w:szCs w:val="22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928C" w14:textId="4286103F" w:rsidR="00C4152F" w:rsidRPr="00300918" w:rsidRDefault="00C4152F" w:rsidP="00974038">
            <w:pPr>
              <w:rPr>
                <w:rFonts w:cs="Arial"/>
                <w:sz w:val="20"/>
                <w:szCs w:val="22"/>
              </w:rPr>
            </w:pPr>
            <w:r w:rsidRPr="00300918">
              <w:rPr>
                <w:rFonts w:cs="Arial"/>
                <w:b/>
                <w:sz w:val="20"/>
                <w:szCs w:val="22"/>
              </w:rPr>
              <w:t>Consultation</w:t>
            </w:r>
            <w:r w:rsidRPr="00300918">
              <w:rPr>
                <w:rFonts w:cs="Arial"/>
                <w:sz w:val="20"/>
                <w:szCs w:val="22"/>
              </w:rPr>
              <w:t>:</w:t>
            </w:r>
            <w:r w:rsidR="00962C7A">
              <w:rPr>
                <w:rFonts w:cs="Arial"/>
                <w:sz w:val="20"/>
                <w:szCs w:val="22"/>
              </w:rPr>
              <w:t xml:space="preserve"> </w:t>
            </w:r>
          </w:p>
          <w:p w14:paraId="43D0E79D" w14:textId="0BAFB4C0" w:rsidR="0000351F" w:rsidRPr="00962C7A" w:rsidRDefault="00962C7A" w:rsidP="00974038">
            <w:pPr>
              <w:rPr>
                <w:rFonts w:cs="Arial"/>
                <w:szCs w:val="22"/>
                <w:lang w:eastAsia="en-US"/>
              </w:rPr>
            </w:pPr>
            <w:r w:rsidRPr="00962C7A">
              <w:rPr>
                <w:rFonts w:cs="Arial"/>
                <w:bCs/>
                <w:szCs w:val="22"/>
              </w:rPr>
              <w:t>Ben Kwan</w:t>
            </w:r>
            <w:r>
              <w:rPr>
                <w:rFonts w:cs="Arial"/>
                <w:bCs/>
                <w:szCs w:val="22"/>
              </w:rPr>
              <w:t>, Director Respiratory Medicine TSH</w:t>
            </w:r>
          </w:p>
        </w:tc>
      </w:tr>
      <w:bookmarkEnd w:id="1"/>
    </w:tbl>
    <w:p w14:paraId="3285C768" w14:textId="77777777" w:rsidR="00F00F52" w:rsidRPr="00300918" w:rsidRDefault="00F00F52" w:rsidP="00974038">
      <w:pPr>
        <w:outlineLvl w:val="0"/>
        <w:rPr>
          <w:rFonts w:cs="Arial"/>
          <w:i/>
          <w:color w:val="0066FF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021"/>
        <w:gridCol w:w="3573"/>
        <w:gridCol w:w="2693"/>
        <w:gridCol w:w="1134"/>
      </w:tblGrid>
      <w:tr w:rsidR="00E3624B" w:rsidRPr="00300918" w14:paraId="141840BF" w14:textId="77777777" w:rsidTr="008D3382">
        <w:trPr>
          <w:trHeight w:val="178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513FB53A" w14:textId="77777777" w:rsidR="00E3624B" w:rsidRPr="00300918" w:rsidRDefault="00E3624B" w:rsidP="00974038">
            <w:pPr>
              <w:rPr>
                <w:rFonts w:cs="Arial"/>
                <w:sz w:val="20"/>
                <w:szCs w:val="22"/>
              </w:rPr>
            </w:pPr>
            <w:r w:rsidRPr="00300918">
              <w:rPr>
                <w:rFonts w:cs="Arial"/>
                <w:b/>
                <w:szCs w:val="22"/>
              </w:rPr>
              <w:t>Revision and Approval History</w:t>
            </w:r>
          </w:p>
        </w:tc>
      </w:tr>
      <w:tr w:rsidR="005572A5" w:rsidRPr="00300918" w14:paraId="780FF944" w14:textId="77777777" w:rsidTr="006F459C">
        <w:trPr>
          <w:trHeight w:val="364"/>
        </w:trPr>
        <w:tc>
          <w:tcPr>
            <w:tcW w:w="1218" w:type="dxa"/>
            <w:shd w:val="clear" w:color="auto" w:fill="D9D9D9"/>
            <w:vAlign w:val="center"/>
          </w:tcPr>
          <w:p w14:paraId="0178AE97" w14:textId="77777777" w:rsidR="005572A5" w:rsidRPr="00300918" w:rsidRDefault="00E3624B" w:rsidP="00974038">
            <w:pPr>
              <w:jc w:val="center"/>
              <w:rPr>
                <w:rFonts w:cs="Arial"/>
                <w:sz w:val="20"/>
                <w:szCs w:val="22"/>
              </w:rPr>
            </w:pPr>
            <w:r w:rsidRPr="00300918">
              <w:rPr>
                <w:rFonts w:cs="Arial"/>
                <w:sz w:val="20"/>
                <w:szCs w:val="22"/>
              </w:rPr>
              <w:t>Revision Date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0DCE8A1C" w14:textId="77777777" w:rsidR="005572A5" w:rsidRPr="00300918" w:rsidRDefault="005572A5" w:rsidP="00974038">
            <w:pPr>
              <w:jc w:val="center"/>
              <w:rPr>
                <w:rFonts w:cs="Arial"/>
                <w:sz w:val="20"/>
                <w:szCs w:val="22"/>
              </w:rPr>
            </w:pPr>
            <w:r w:rsidRPr="00300918">
              <w:rPr>
                <w:rFonts w:cs="Arial"/>
                <w:sz w:val="20"/>
                <w:szCs w:val="22"/>
              </w:rPr>
              <w:t>Revision number</w:t>
            </w:r>
          </w:p>
        </w:tc>
        <w:tc>
          <w:tcPr>
            <w:tcW w:w="3573" w:type="dxa"/>
            <w:shd w:val="clear" w:color="auto" w:fill="D9D9D9"/>
            <w:vAlign w:val="center"/>
          </w:tcPr>
          <w:p w14:paraId="479510F1" w14:textId="77777777" w:rsidR="005572A5" w:rsidRPr="00300918" w:rsidRDefault="005572A5" w:rsidP="00974038">
            <w:pPr>
              <w:jc w:val="center"/>
              <w:rPr>
                <w:rFonts w:cs="Arial"/>
                <w:sz w:val="20"/>
                <w:szCs w:val="22"/>
              </w:rPr>
            </w:pPr>
            <w:r w:rsidRPr="00300918">
              <w:rPr>
                <w:rFonts w:cs="Arial"/>
                <w:sz w:val="20"/>
                <w:szCs w:val="22"/>
              </w:rPr>
              <w:t>Reason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CB7B871" w14:textId="1CA8FB7F" w:rsidR="005572A5" w:rsidRPr="00300918" w:rsidRDefault="00E3624B" w:rsidP="00A7634E">
            <w:pPr>
              <w:jc w:val="center"/>
              <w:rPr>
                <w:rFonts w:cs="Arial"/>
                <w:sz w:val="20"/>
                <w:szCs w:val="22"/>
              </w:rPr>
            </w:pPr>
            <w:r w:rsidRPr="00300918">
              <w:rPr>
                <w:rFonts w:cs="Arial"/>
                <w:sz w:val="20"/>
                <w:szCs w:val="22"/>
              </w:rPr>
              <w:t>Coordinator/Author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F2BA2C3" w14:textId="77777777" w:rsidR="005572A5" w:rsidRPr="00300918" w:rsidRDefault="00E3624B" w:rsidP="00974038">
            <w:pPr>
              <w:jc w:val="center"/>
              <w:rPr>
                <w:rFonts w:cs="Arial"/>
                <w:sz w:val="20"/>
                <w:szCs w:val="22"/>
              </w:rPr>
            </w:pPr>
            <w:r w:rsidRPr="00300918">
              <w:rPr>
                <w:rFonts w:cs="Arial"/>
                <w:sz w:val="20"/>
                <w:szCs w:val="22"/>
              </w:rPr>
              <w:t>Revision D</w:t>
            </w:r>
            <w:r w:rsidR="005572A5" w:rsidRPr="00300918">
              <w:rPr>
                <w:rFonts w:cs="Arial"/>
                <w:sz w:val="20"/>
                <w:szCs w:val="22"/>
              </w:rPr>
              <w:t>ue</w:t>
            </w:r>
          </w:p>
        </w:tc>
      </w:tr>
      <w:tr w:rsidR="005572A5" w:rsidRPr="00300918" w14:paraId="08BC9956" w14:textId="77777777" w:rsidTr="006F459C">
        <w:trPr>
          <w:trHeight w:val="381"/>
        </w:trPr>
        <w:tc>
          <w:tcPr>
            <w:tcW w:w="1218" w:type="dxa"/>
            <w:vAlign w:val="center"/>
          </w:tcPr>
          <w:p w14:paraId="17DA8B3C" w14:textId="11366CDB" w:rsidR="005572A5" w:rsidRPr="00DD4511" w:rsidRDefault="00962C7A" w:rsidP="00974038">
            <w:pPr>
              <w:rPr>
                <w:rFonts w:cs="Arial"/>
                <w:szCs w:val="22"/>
              </w:rPr>
            </w:pPr>
            <w:r w:rsidRPr="00DD4511">
              <w:rPr>
                <w:rFonts w:cs="Arial"/>
                <w:szCs w:val="22"/>
              </w:rPr>
              <w:t>January 2023</w:t>
            </w:r>
          </w:p>
        </w:tc>
        <w:tc>
          <w:tcPr>
            <w:tcW w:w="1021" w:type="dxa"/>
            <w:vAlign w:val="center"/>
          </w:tcPr>
          <w:p w14:paraId="361C3512" w14:textId="5D703B07" w:rsidR="005572A5" w:rsidRPr="00DD4511" w:rsidRDefault="00DD4511" w:rsidP="00974038">
            <w:pPr>
              <w:rPr>
                <w:rFonts w:cs="Arial"/>
                <w:szCs w:val="22"/>
              </w:rPr>
            </w:pPr>
            <w:r w:rsidRPr="00DD4511">
              <w:rPr>
                <w:rFonts w:cs="Arial"/>
                <w:szCs w:val="22"/>
              </w:rPr>
              <w:t>0</w:t>
            </w:r>
          </w:p>
        </w:tc>
        <w:tc>
          <w:tcPr>
            <w:tcW w:w="3573" w:type="dxa"/>
            <w:vAlign w:val="center"/>
          </w:tcPr>
          <w:p w14:paraId="732CB6D2" w14:textId="1E8779FB" w:rsidR="00AA4A29" w:rsidRPr="00DD4511" w:rsidRDefault="00DD4511" w:rsidP="00AA4A29">
            <w:pPr>
              <w:rPr>
                <w:rFonts w:cs="Arial"/>
                <w:szCs w:val="22"/>
              </w:rPr>
            </w:pPr>
            <w:r w:rsidRPr="00DD4511">
              <w:rPr>
                <w:rFonts w:cs="Arial"/>
                <w:szCs w:val="22"/>
              </w:rPr>
              <w:t>New</w:t>
            </w:r>
          </w:p>
        </w:tc>
        <w:tc>
          <w:tcPr>
            <w:tcW w:w="2693" w:type="dxa"/>
            <w:vAlign w:val="center"/>
          </w:tcPr>
          <w:p w14:paraId="156E9AD7" w14:textId="3DDD0673" w:rsidR="005572A5" w:rsidRPr="00DD4511" w:rsidRDefault="00DD4511" w:rsidP="00974038">
            <w:pPr>
              <w:rPr>
                <w:rFonts w:cs="Arial"/>
                <w:szCs w:val="22"/>
              </w:rPr>
            </w:pPr>
            <w:r w:rsidRPr="00DD4511">
              <w:rPr>
                <w:rFonts w:cs="Arial"/>
                <w:szCs w:val="22"/>
              </w:rPr>
              <w:t>Todd Steggles</w:t>
            </w:r>
          </w:p>
        </w:tc>
        <w:tc>
          <w:tcPr>
            <w:tcW w:w="1134" w:type="dxa"/>
            <w:vAlign w:val="center"/>
          </w:tcPr>
          <w:p w14:paraId="4F36EA05" w14:textId="3623B184" w:rsidR="005572A5" w:rsidRPr="00DD4511" w:rsidRDefault="00DD4511" w:rsidP="00974038">
            <w:pPr>
              <w:rPr>
                <w:rFonts w:cs="Arial"/>
                <w:szCs w:val="22"/>
              </w:rPr>
            </w:pPr>
            <w:r w:rsidRPr="00DD4511">
              <w:rPr>
                <w:rFonts w:cs="Arial"/>
                <w:szCs w:val="22"/>
              </w:rPr>
              <w:t>January 2026</w:t>
            </w:r>
          </w:p>
        </w:tc>
      </w:tr>
    </w:tbl>
    <w:p w14:paraId="465331B6" w14:textId="77777777" w:rsidR="00D17420" w:rsidRPr="00300918" w:rsidRDefault="00D17420" w:rsidP="00974038">
      <w:pPr>
        <w:rPr>
          <w:rFonts w:cs="Arial"/>
          <w:b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40BC4" w:rsidRPr="00300918" w14:paraId="20B1CF99" w14:textId="77777777" w:rsidTr="008D3382">
        <w:trPr>
          <w:trHeight w:val="410"/>
        </w:trPr>
        <w:tc>
          <w:tcPr>
            <w:tcW w:w="9639" w:type="dxa"/>
            <w:shd w:val="pct15" w:color="auto" w:fill="auto"/>
            <w:vAlign w:val="center"/>
          </w:tcPr>
          <w:p w14:paraId="00A6F92C" w14:textId="77777777" w:rsidR="00440BC4" w:rsidRPr="00300918" w:rsidRDefault="005C181A" w:rsidP="00974038">
            <w:pPr>
              <w:rPr>
                <w:rFonts w:cs="Arial"/>
                <w:bCs/>
                <w:i/>
                <w:szCs w:val="22"/>
              </w:rPr>
            </w:pPr>
            <w:r w:rsidRPr="00300918">
              <w:rPr>
                <w:rFonts w:cs="Arial"/>
                <w:b/>
                <w:bCs/>
                <w:szCs w:val="22"/>
              </w:rPr>
              <w:t>General Manager’s</w:t>
            </w:r>
            <w:r w:rsidR="00440BC4" w:rsidRPr="00300918">
              <w:rPr>
                <w:rFonts w:cs="Arial"/>
                <w:b/>
                <w:bCs/>
                <w:szCs w:val="22"/>
              </w:rPr>
              <w:t xml:space="preserve"> Ratification</w:t>
            </w:r>
          </w:p>
        </w:tc>
      </w:tr>
      <w:tr w:rsidR="006C7858" w:rsidRPr="00300918" w14:paraId="261560F1" w14:textId="77777777" w:rsidTr="008D3382">
        <w:trPr>
          <w:trHeight w:val="217"/>
        </w:trPr>
        <w:tc>
          <w:tcPr>
            <w:tcW w:w="9639" w:type="dxa"/>
            <w:shd w:val="clear" w:color="auto" w:fill="auto"/>
            <w:vAlign w:val="center"/>
          </w:tcPr>
          <w:p w14:paraId="6075E66A" w14:textId="1B6D9B60" w:rsidR="006C7858" w:rsidRPr="00300918" w:rsidRDefault="000B4757" w:rsidP="000B4757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Angela Karooz</w:t>
            </w:r>
            <w:r w:rsidR="00012ACF" w:rsidRPr="00300918">
              <w:rPr>
                <w:rFonts w:cs="Arial"/>
                <w:bCs/>
                <w:szCs w:val="22"/>
              </w:rPr>
              <w:t xml:space="preserve"> (SGH)</w:t>
            </w:r>
            <w:r w:rsidRPr="00300918">
              <w:rPr>
                <w:rFonts w:cs="Arial"/>
                <w:bCs/>
                <w:szCs w:val="22"/>
              </w:rPr>
              <w:t xml:space="preserve"> </w:t>
            </w:r>
            <w:r w:rsidRPr="00300918">
              <w:rPr>
                <w:rFonts w:cs="Arial"/>
                <w:bCs/>
                <w:szCs w:val="22"/>
              </w:rPr>
              <w:tab/>
            </w:r>
            <w:r w:rsidR="00012ACF" w:rsidRPr="00300918">
              <w:rPr>
                <w:rFonts w:cs="Arial"/>
                <w:bCs/>
                <w:szCs w:val="22"/>
              </w:rPr>
              <w:t>Signature</w:t>
            </w:r>
            <w:r w:rsidR="000700D3" w:rsidRPr="00300918">
              <w:rPr>
                <w:rFonts w:cs="Arial"/>
                <w:bCs/>
                <w:szCs w:val="22"/>
              </w:rPr>
              <w:t>:</w:t>
            </w:r>
            <w:r w:rsidR="00012ACF" w:rsidRPr="00300918">
              <w:rPr>
                <w:rFonts w:cs="Arial"/>
                <w:bCs/>
                <w:szCs w:val="22"/>
              </w:rPr>
              <w:tab/>
            </w:r>
            <w:r w:rsidR="00012ACF" w:rsidRPr="00300918">
              <w:rPr>
                <w:rFonts w:cs="Arial"/>
                <w:bCs/>
                <w:szCs w:val="22"/>
              </w:rPr>
              <w:tab/>
            </w:r>
            <w:r w:rsidR="00012ACF" w:rsidRPr="00300918">
              <w:rPr>
                <w:rFonts w:cs="Arial"/>
                <w:bCs/>
                <w:szCs w:val="22"/>
              </w:rPr>
              <w:tab/>
              <w:t>Date</w:t>
            </w:r>
            <w:r w:rsidR="000700D3" w:rsidRPr="00300918">
              <w:rPr>
                <w:rFonts w:cs="Arial"/>
                <w:bCs/>
                <w:szCs w:val="22"/>
              </w:rPr>
              <w:t>:</w:t>
            </w:r>
            <w:r w:rsidR="00264849">
              <w:rPr>
                <w:rFonts w:cs="Arial"/>
                <w:bCs/>
                <w:szCs w:val="22"/>
              </w:rPr>
              <w:t xml:space="preserve"> </w:t>
            </w:r>
            <w:sdt>
              <w:sdtPr>
                <w:rPr>
                  <w:rFonts w:cs="Arial"/>
                  <w:bCs/>
                  <w:szCs w:val="22"/>
                </w:rPr>
                <w:id w:val="-257749054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64849" w:rsidRPr="0071498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C7858" w:rsidRPr="00300918" w14:paraId="09C5C7BA" w14:textId="77777777" w:rsidTr="008D3382">
        <w:trPr>
          <w:trHeight w:val="281"/>
        </w:trPr>
        <w:tc>
          <w:tcPr>
            <w:tcW w:w="9639" w:type="dxa"/>
            <w:shd w:val="clear" w:color="auto" w:fill="auto"/>
            <w:vAlign w:val="center"/>
          </w:tcPr>
          <w:p w14:paraId="1D34B30D" w14:textId="00819BF1" w:rsidR="006C7858" w:rsidRPr="00300918" w:rsidRDefault="006C7858" w:rsidP="00974038">
            <w:pPr>
              <w:rPr>
                <w:rFonts w:cs="Arial"/>
                <w:bCs/>
                <w:szCs w:val="22"/>
              </w:rPr>
            </w:pPr>
            <w:r w:rsidRPr="00300918">
              <w:rPr>
                <w:rFonts w:cs="Arial"/>
                <w:bCs/>
                <w:szCs w:val="22"/>
              </w:rPr>
              <w:t>Vicki Weeden (TSH)</w:t>
            </w:r>
            <w:r w:rsidRPr="00300918">
              <w:rPr>
                <w:rFonts w:cs="Arial"/>
                <w:bCs/>
                <w:szCs w:val="22"/>
              </w:rPr>
              <w:tab/>
            </w:r>
            <w:r w:rsidR="000B4757" w:rsidRPr="00300918">
              <w:rPr>
                <w:rFonts w:cs="Arial"/>
                <w:bCs/>
                <w:szCs w:val="22"/>
              </w:rPr>
              <w:tab/>
            </w:r>
            <w:r w:rsidR="00012ACF" w:rsidRPr="00300918">
              <w:rPr>
                <w:rFonts w:cs="Arial"/>
                <w:bCs/>
                <w:szCs w:val="22"/>
              </w:rPr>
              <w:t>Signature</w:t>
            </w:r>
            <w:r w:rsidR="000700D3" w:rsidRPr="00300918">
              <w:rPr>
                <w:rFonts w:cs="Arial"/>
                <w:bCs/>
                <w:szCs w:val="22"/>
              </w:rPr>
              <w:t>:</w:t>
            </w:r>
            <w:r w:rsidR="00012ACF" w:rsidRPr="00300918">
              <w:rPr>
                <w:rFonts w:cs="Arial"/>
                <w:bCs/>
                <w:szCs w:val="22"/>
              </w:rPr>
              <w:tab/>
            </w:r>
            <w:r w:rsidR="00012ACF" w:rsidRPr="00300918">
              <w:rPr>
                <w:rFonts w:cs="Arial"/>
                <w:bCs/>
                <w:szCs w:val="22"/>
              </w:rPr>
              <w:tab/>
            </w:r>
            <w:r w:rsidR="00012ACF" w:rsidRPr="00300918">
              <w:rPr>
                <w:rFonts w:cs="Arial"/>
                <w:bCs/>
                <w:szCs w:val="22"/>
              </w:rPr>
              <w:tab/>
              <w:t>Date</w:t>
            </w:r>
            <w:r w:rsidR="000700D3" w:rsidRPr="00300918">
              <w:rPr>
                <w:rFonts w:cs="Arial"/>
                <w:bCs/>
                <w:szCs w:val="22"/>
              </w:rPr>
              <w:t>:</w:t>
            </w:r>
            <w:r w:rsidR="00264849">
              <w:rPr>
                <w:rFonts w:cs="Arial"/>
                <w:bCs/>
                <w:szCs w:val="22"/>
              </w:rPr>
              <w:t xml:space="preserve"> </w:t>
            </w:r>
            <w:sdt>
              <w:sdtPr>
                <w:rPr>
                  <w:rFonts w:cs="Arial"/>
                  <w:bCs/>
                  <w:szCs w:val="22"/>
                </w:rPr>
                <w:id w:val="1091516218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64849" w:rsidRPr="0071498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38BE16C" w14:textId="6E5C29FE" w:rsidR="00440BC4" w:rsidRDefault="00440BC4" w:rsidP="00974038">
      <w:pPr>
        <w:rPr>
          <w:rFonts w:cs="Arial"/>
          <w:b/>
          <w:szCs w:val="22"/>
        </w:rPr>
      </w:pPr>
    </w:p>
    <w:p w14:paraId="60C3ED15" w14:textId="576B298D" w:rsidR="008055EC" w:rsidRDefault="008055EC" w:rsidP="00974038">
      <w:pPr>
        <w:rPr>
          <w:rFonts w:cs="Arial"/>
          <w:b/>
          <w:szCs w:val="22"/>
        </w:rPr>
      </w:pPr>
    </w:p>
    <w:p w14:paraId="4525E7C8" w14:textId="5A39AA2A" w:rsidR="008055EC" w:rsidRDefault="008055EC" w:rsidP="00974038">
      <w:pPr>
        <w:rPr>
          <w:rFonts w:cs="Arial"/>
          <w:b/>
          <w:szCs w:val="22"/>
        </w:rPr>
      </w:pPr>
    </w:p>
    <w:p w14:paraId="7141E42C" w14:textId="07DB60CD" w:rsidR="008055EC" w:rsidRDefault="008055EC" w:rsidP="00974038">
      <w:pPr>
        <w:rPr>
          <w:rFonts w:cs="Arial"/>
          <w:b/>
          <w:szCs w:val="22"/>
        </w:rPr>
      </w:pPr>
    </w:p>
    <w:p w14:paraId="061D52D8" w14:textId="2DFFEF0D" w:rsidR="008055EC" w:rsidRDefault="008055EC" w:rsidP="00974038">
      <w:pPr>
        <w:rPr>
          <w:rFonts w:cs="Arial"/>
          <w:b/>
          <w:szCs w:val="22"/>
        </w:rPr>
      </w:pPr>
    </w:p>
    <w:p w14:paraId="4E82A39B" w14:textId="04CB6201" w:rsidR="008055EC" w:rsidRDefault="008055EC" w:rsidP="00974038">
      <w:pPr>
        <w:rPr>
          <w:rFonts w:cs="Arial"/>
          <w:b/>
          <w:szCs w:val="22"/>
        </w:rPr>
      </w:pPr>
    </w:p>
    <w:p w14:paraId="097B7B09" w14:textId="612BC45C" w:rsidR="008055EC" w:rsidRDefault="008055EC" w:rsidP="00974038">
      <w:pPr>
        <w:rPr>
          <w:rFonts w:cs="Arial"/>
          <w:b/>
          <w:szCs w:val="22"/>
        </w:rPr>
      </w:pPr>
    </w:p>
    <w:p w14:paraId="6718F12F" w14:textId="42E98A44" w:rsidR="008055EC" w:rsidRDefault="008055EC" w:rsidP="00974038">
      <w:pPr>
        <w:rPr>
          <w:rFonts w:cs="Arial"/>
          <w:b/>
          <w:szCs w:val="22"/>
        </w:rPr>
      </w:pPr>
    </w:p>
    <w:p w14:paraId="146A25A7" w14:textId="47332E11" w:rsidR="008055EC" w:rsidRDefault="008055EC" w:rsidP="00974038">
      <w:pPr>
        <w:rPr>
          <w:rFonts w:cs="Arial"/>
          <w:b/>
          <w:szCs w:val="22"/>
        </w:rPr>
      </w:pPr>
    </w:p>
    <w:p w14:paraId="117B1713" w14:textId="3A30DFA9" w:rsidR="008055EC" w:rsidRDefault="008055EC" w:rsidP="00974038">
      <w:pPr>
        <w:rPr>
          <w:rFonts w:cs="Arial"/>
          <w:b/>
          <w:szCs w:val="22"/>
        </w:rPr>
      </w:pPr>
    </w:p>
    <w:p w14:paraId="0001333C" w14:textId="49173A4C" w:rsidR="008055EC" w:rsidRDefault="008055EC" w:rsidP="00974038">
      <w:pPr>
        <w:rPr>
          <w:rFonts w:cs="Arial"/>
          <w:b/>
          <w:szCs w:val="22"/>
        </w:rPr>
      </w:pPr>
    </w:p>
    <w:p w14:paraId="1B24439D" w14:textId="5942A2BE" w:rsidR="008055EC" w:rsidRDefault="008055EC" w:rsidP="00974038">
      <w:pPr>
        <w:rPr>
          <w:rFonts w:cs="Arial"/>
          <w:b/>
          <w:szCs w:val="22"/>
        </w:rPr>
      </w:pPr>
    </w:p>
    <w:p w14:paraId="6C6A4284" w14:textId="4386A695" w:rsidR="008055EC" w:rsidRDefault="008055EC" w:rsidP="00974038">
      <w:pPr>
        <w:rPr>
          <w:rFonts w:cs="Arial"/>
          <w:b/>
          <w:szCs w:val="22"/>
        </w:rPr>
      </w:pPr>
    </w:p>
    <w:p w14:paraId="1FB179DF" w14:textId="769D2E62" w:rsidR="008055EC" w:rsidRDefault="008055EC" w:rsidP="00974038">
      <w:pPr>
        <w:rPr>
          <w:rFonts w:cs="Arial"/>
          <w:b/>
          <w:szCs w:val="22"/>
        </w:rPr>
      </w:pPr>
    </w:p>
    <w:p w14:paraId="070965A8" w14:textId="0E8DA1D8" w:rsidR="008055EC" w:rsidRDefault="008055EC" w:rsidP="00974038">
      <w:pPr>
        <w:rPr>
          <w:rFonts w:cs="Arial"/>
          <w:b/>
          <w:szCs w:val="22"/>
        </w:rPr>
      </w:pPr>
    </w:p>
    <w:p w14:paraId="6A869DB4" w14:textId="495CF21C" w:rsidR="008055EC" w:rsidRDefault="008055EC" w:rsidP="00974038">
      <w:pPr>
        <w:rPr>
          <w:rFonts w:cs="Arial"/>
          <w:b/>
          <w:szCs w:val="22"/>
        </w:rPr>
      </w:pPr>
    </w:p>
    <w:p w14:paraId="0DC0EF58" w14:textId="3DAACE46" w:rsidR="008055EC" w:rsidRDefault="008055EC" w:rsidP="00974038">
      <w:pPr>
        <w:rPr>
          <w:rFonts w:cs="Arial"/>
          <w:b/>
          <w:szCs w:val="22"/>
        </w:rPr>
      </w:pPr>
    </w:p>
    <w:p w14:paraId="5CB81BF5" w14:textId="77777777" w:rsidR="008055EC" w:rsidRPr="00300918" w:rsidRDefault="008055EC" w:rsidP="00974038">
      <w:pPr>
        <w:rPr>
          <w:rFonts w:cs="Arial"/>
          <w:b/>
          <w:szCs w:val="22"/>
        </w:rPr>
      </w:pPr>
    </w:p>
    <w:sectPr w:rsidR="008055EC" w:rsidRPr="00300918" w:rsidSect="006A28B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7B7B" w14:textId="77777777" w:rsidR="00DC6614" w:rsidRDefault="00DC6614">
      <w:r>
        <w:separator/>
      </w:r>
    </w:p>
  </w:endnote>
  <w:endnote w:type="continuationSeparator" w:id="0">
    <w:p w14:paraId="68CCDF6E" w14:textId="77777777" w:rsidR="00DC6614" w:rsidRDefault="00DC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72F7" w14:textId="77777777" w:rsidR="00831D2C" w:rsidRPr="00831D2C" w:rsidRDefault="00831D2C" w:rsidP="00794493">
    <w:pPr>
      <w:pStyle w:val="Footer"/>
      <w:tabs>
        <w:tab w:val="clear" w:pos="8306"/>
        <w:tab w:val="right" w:pos="9638"/>
      </w:tabs>
      <w:spacing w:before="0" w:after="0"/>
      <w:rPr>
        <w:rFonts w:cs="Arial"/>
        <w:sz w:val="10"/>
        <w:szCs w:val="10"/>
      </w:rPr>
    </w:pPr>
  </w:p>
  <w:p w14:paraId="448F519C" w14:textId="77777777" w:rsidR="00017D2B" w:rsidRDefault="00E87594" w:rsidP="00794493">
    <w:pPr>
      <w:pStyle w:val="Footer"/>
      <w:pBdr>
        <w:top w:val="single" w:sz="4" w:space="1" w:color="auto"/>
      </w:pBdr>
      <w:tabs>
        <w:tab w:val="clear" w:pos="8306"/>
        <w:tab w:val="right" w:pos="9638"/>
      </w:tabs>
      <w:spacing w:before="0" w:after="0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Approved by: SGH-</w:t>
    </w:r>
    <w:r w:rsidR="003B0406">
      <w:rPr>
        <w:rFonts w:ascii="Arial Narrow" w:hAnsi="Arial Narrow" w:cs="Arial"/>
        <w:sz w:val="20"/>
        <w:szCs w:val="20"/>
      </w:rPr>
      <w:t>TSH Clinical Gov</w:t>
    </w:r>
    <w:r w:rsidR="003C4567">
      <w:rPr>
        <w:rFonts w:ascii="Arial Narrow" w:hAnsi="Arial Narrow" w:cs="Arial"/>
        <w:sz w:val="20"/>
        <w:szCs w:val="20"/>
      </w:rPr>
      <w:t>ernance Documents Committee</w:t>
    </w:r>
    <w:r w:rsidR="00017D2B">
      <w:rPr>
        <w:rFonts w:ascii="Arial Narrow" w:hAnsi="Arial Narrow" w:cs="Arial"/>
        <w:sz w:val="20"/>
        <w:szCs w:val="20"/>
      </w:rPr>
      <w:t xml:space="preserve"> | SGH-TSH Safe Use of Medicines Sub-Committee</w:t>
    </w:r>
  </w:p>
  <w:p w14:paraId="493AAC62" w14:textId="4710983A" w:rsidR="003B0406" w:rsidRDefault="003B0406" w:rsidP="00794493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638"/>
      </w:tabs>
      <w:spacing w:before="0" w:after="0"/>
      <w:rPr>
        <w:rFonts w:ascii="Arial Narrow" w:hAnsi="Arial Narrow" w:cs="Arial"/>
        <w:sz w:val="20"/>
        <w:szCs w:val="20"/>
      </w:rPr>
    </w:pPr>
    <w:r w:rsidRPr="00CE367B">
      <w:rPr>
        <w:rFonts w:ascii="Arial Narrow" w:hAnsi="Arial Narrow" w:cs="Arial"/>
        <w:sz w:val="20"/>
        <w:szCs w:val="20"/>
      </w:rPr>
      <w:t>Date:</w:t>
    </w:r>
    <w:r w:rsidR="00017D2B">
      <w:rPr>
        <w:rFonts w:ascii="Arial Narrow" w:hAnsi="Arial Narrow" w:cs="Arial"/>
        <w:sz w:val="20"/>
        <w:szCs w:val="20"/>
      </w:rPr>
      <w:t xml:space="preserve"> </w:t>
    </w:r>
    <w:r w:rsidR="00017D2B">
      <w:rPr>
        <w:rFonts w:ascii="Arial Narrow" w:hAnsi="Arial Narrow" w:cs="Arial"/>
        <w:sz w:val="20"/>
        <w:szCs w:val="20"/>
      </w:rPr>
      <w:tab/>
    </w:r>
    <w:r w:rsidR="001E1AA3">
      <w:rPr>
        <w:rFonts w:ascii="Arial Narrow" w:hAnsi="Arial Narrow" w:cs="Arial"/>
        <w:sz w:val="20"/>
        <w:szCs w:val="20"/>
      </w:rPr>
      <w:t>Content Manage</w:t>
    </w:r>
    <w:r w:rsidR="00AF755E">
      <w:rPr>
        <w:rFonts w:ascii="Arial Narrow" w:hAnsi="Arial Narrow" w:cs="Arial"/>
        <w:sz w:val="20"/>
        <w:szCs w:val="20"/>
      </w:rPr>
      <w:t xml:space="preserve">r </w:t>
    </w:r>
    <w:r>
      <w:rPr>
        <w:rFonts w:ascii="Arial Narrow" w:hAnsi="Arial Narrow" w:cs="Arial"/>
        <w:sz w:val="20"/>
        <w:szCs w:val="20"/>
      </w:rPr>
      <w:t>T</w:t>
    </w:r>
    <w:r w:rsidR="00282D80">
      <w:rPr>
        <w:rFonts w:ascii="Arial Narrow" w:hAnsi="Arial Narrow" w:cs="Arial"/>
        <w:sz w:val="20"/>
        <w:szCs w:val="20"/>
      </w:rPr>
      <w:t>2</w:t>
    </w:r>
    <w:r w:rsidR="00E92D15">
      <w:rPr>
        <w:rFonts w:ascii="Arial Narrow" w:hAnsi="Arial Narrow" w:cs="Arial"/>
        <w:sz w:val="20"/>
        <w:szCs w:val="20"/>
      </w:rPr>
      <w:t>2</w:t>
    </w:r>
    <w:r w:rsidR="00D2786C">
      <w:rPr>
        <w:rFonts w:ascii="Arial Narrow" w:hAnsi="Arial Narrow" w:cs="Arial"/>
        <w:sz w:val="20"/>
        <w:szCs w:val="20"/>
      </w:rPr>
      <w:t>/</w:t>
    </w:r>
    <w:proofErr w:type="spellStart"/>
    <w:r w:rsidR="00017D2B">
      <w:rPr>
        <w:rFonts w:ascii="Arial Narrow" w:hAnsi="Arial Narrow" w:cs="Arial"/>
        <w:sz w:val="20"/>
        <w:szCs w:val="20"/>
      </w:rPr>
      <w:t>xxxxx</w:t>
    </w:r>
    <w:proofErr w:type="spellEnd"/>
    <w:r>
      <w:rPr>
        <w:rFonts w:ascii="Arial Narrow" w:hAnsi="Arial Narrow" w:cs="Arial"/>
        <w:sz w:val="20"/>
        <w:szCs w:val="20"/>
      </w:rPr>
      <w:tab/>
    </w:r>
    <w:r w:rsidRPr="00817EBB">
      <w:rPr>
        <w:rFonts w:ascii="Arial Narrow" w:hAnsi="Arial Narrow" w:cs="Arial"/>
        <w:sz w:val="20"/>
        <w:szCs w:val="20"/>
      </w:rPr>
      <w:t xml:space="preserve">Page </w:t>
    </w:r>
    <w:r w:rsidRPr="00817EBB">
      <w:rPr>
        <w:rFonts w:ascii="Arial Narrow" w:hAnsi="Arial Narrow" w:cs="Arial"/>
        <w:sz w:val="20"/>
        <w:szCs w:val="20"/>
      </w:rPr>
      <w:fldChar w:fldCharType="begin"/>
    </w:r>
    <w:r w:rsidRPr="00817EBB">
      <w:rPr>
        <w:rFonts w:ascii="Arial Narrow" w:hAnsi="Arial Narrow" w:cs="Arial"/>
        <w:sz w:val="20"/>
        <w:szCs w:val="20"/>
      </w:rPr>
      <w:instrText xml:space="preserve"> PAGE </w:instrText>
    </w:r>
    <w:r w:rsidRPr="00817EBB">
      <w:rPr>
        <w:rFonts w:ascii="Arial Narrow" w:hAnsi="Arial Narrow" w:cs="Arial"/>
        <w:sz w:val="20"/>
        <w:szCs w:val="20"/>
      </w:rPr>
      <w:fldChar w:fldCharType="separate"/>
    </w:r>
    <w:r w:rsidR="00A7634E">
      <w:rPr>
        <w:rFonts w:ascii="Arial Narrow" w:hAnsi="Arial Narrow" w:cs="Arial"/>
        <w:noProof/>
        <w:sz w:val="20"/>
        <w:szCs w:val="20"/>
      </w:rPr>
      <w:t>4</w:t>
    </w:r>
    <w:r w:rsidRPr="00817EBB">
      <w:rPr>
        <w:rFonts w:ascii="Arial Narrow" w:hAnsi="Arial Narrow" w:cs="Arial"/>
        <w:sz w:val="20"/>
        <w:szCs w:val="20"/>
      </w:rPr>
      <w:fldChar w:fldCharType="end"/>
    </w:r>
    <w:r w:rsidRPr="00817EBB">
      <w:rPr>
        <w:rFonts w:ascii="Arial Narrow" w:hAnsi="Arial Narrow" w:cs="Arial"/>
        <w:sz w:val="20"/>
        <w:szCs w:val="20"/>
      </w:rPr>
      <w:t xml:space="preserve"> of </w:t>
    </w:r>
    <w:r w:rsidRPr="00817EBB">
      <w:rPr>
        <w:rFonts w:ascii="Arial Narrow" w:hAnsi="Arial Narrow" w:cs="Arial"/>
        <w:sz w:val="20"/>
        <w:szCs w:val="20"/>
      </w:rPr>
      <w:fldChar w:fldCharType="begin"/>
    </w:r>
    <w:r w:rsidRPr="00817EBB">
      <w:rPr>
        <w:rFonts w:ascii="Arial Narrow" w:hAnsi="Arial Narrow" w:cs="Arial"/>
        <w:sz w:val="20"/>
        <w:szCs w:val="20"/>
      </w:rPr>
      <w:instrText xml:space="preserve"> NUMPAGES </w:instrText>
    </w:r>
    <w:r w:rsidRPr="00817EBB">
      <w:rPr>
        <w:rFonts w:ascii="Arial Narrow" w:hAnsi="Arial Narrow" w:cs="Arial"/>
        <w:sz w:val="20"/>
        <w:szCs w:val="20"/>
      </w:rPr>
      <w:fldChar w:fldCharType="separate"/>
    </w:r>
    <w:r w:rsidR="00A7634E">
      <w:rPr>
        <w:rFonts w:ascii="Arial Narrow" w:hAnsi="Arial Narrow" w:cs="Arial"/>
        <w:noProof/>
        <w:sz w:val="20"/>
        <w:szCs w:val="20"/>
      </w:rPr>
      <w:t>4</w:t>
    </w:r>
    <w:r w:rsidRPr="00817EBB">
      <w:rPr>
        <w:rFonts w:ascii="Arial Narrow" w:hAnsi="Arial Narrow" w:cs="Arial"/>
        <w:sz w:val="20"/>
        <w:szCs w:val="20"/>
      </w:rPr>
      <w:fldChar w:fldCharType="end"/>
    </w:r>
  </w:p>
  <w:p w14:paraId="6AF3F5DA" w14:textId="77777777" w:rsidR="003B0406" w:rsidRDefault="003B0406" w:rsidP="00794493">
    <w:pPr>
      <w:pStyle w:val="Footer"/>
      <w:pBdr>
        <w:top w:val="single" w:sz="4" w:space="1" w:color="auto"/>
      </w:pBdr>
      <w:tabs>
        <w:tab w:val="clear" w:pos="8306"/>
        <w:tab w:val="right" w:pos="9360"/>
      </w:tabs>
      <w:spacing w:before="0" w:after="0"/>
      <w:jc w:val="center"/>
      <w:rPr>
        <w:rFonts w:ascii="Arial Narrow" w:hAnsi="Arial Narrow" w:cs="Arial"/>
        <w:b/>
        <w:color w:val="FF0000"/>
        <w:sz w:val="20"/>
        <w:szCs w:val="20"/>
      </w:rPr>
    </w:pPr>
    <w:r>
      <w:rPr>
        <w:rFonts w:ascii="Arial Narrow" w:hAnsi="Arial Narrow" w:cs="Arial"/>
        <w:b/>
        <w:color w:val="FF0000"/>
        <w:sz w:val="20"/>
        <w:szCs w:val="20"/>
      </w:rPr>
      <w:t>THIS</w:t>
    </w:r>
    <w:r w:rsidRPr="00BA5E3D">
      <w:rPr>
        <w:rFonts w:ascii="Arial Narrow" w:hAnsi="Arial Narrow" w:cs="Arial"/>
        <w:b/>
        <w:color w:val="FF0000"/>
        <w:sz w:val="20"/>
        <w:szCs w:val="20"/>
      </w:rPr>
      <w:t xml:space="preserve"> DOCUMENT BECOMES UNCONTROLLED WHEN PRINTED</w:t>
    </w:r>
  </w:p>
  <w:p w14:paraId="2C2BACA0" w14:textId="77777777" w:rsidR="003B0406" w:rsidRDefault="003B0406" w:rsidP="00794493">
    <w:pPr>
      <w:pStyle w:val="Footer"/>
      <w:pBdr>
        <w:top w:val="single" w:sz="4" w:space="1" w:color="auto"/>
      </w:pBdr>
      <w:tabs>
        <w:tab w:val="clear" w:pos="8306"/>
        <w:tab w:val="right" w:pos="9360"/>
      </w:tabs>
      <w:spacing w:before="0" w:after="0"/>
      <w:jc w:val="center"/>
      <w:rPr>
        <w:rFonts w:ascii="Arial Narrow" w:hAnsi="Arial Narrow" w:cs="Arial"/>
        <w:b/>
        <w:color w:val="FF0000"/>
        <w:sz w:val="20"/>
        <w:szCs w:val="20"/>
      </w:rPr>
    </w:pPr>
    <w:r w:rsidRPr="00BA5E3D">
      <w:rPr>
        <w:rFonts w:ascii="Arial Narrow" w:hAnsi="Arial Narrow" w:cs="Arial"/>
        <w:b/>
        <w:color w:val="FF0000"/>
        <w:sz w:val="20"/>
        <w:szCs w:val="20"/>
      </w:rPr>
      <w:t xml:space="preserve">DISCARD PRINTED </w:t>
    </w:r>
    <w:r>
      <w:rPr>
        <w:rFonts w:ascii="Arial Narrow" w:hAnsi="Arial Narrow" w:cs="Arial"/>
        <w:b/>
        <w:color w:val="FF0000"/>
        <w:sz w:val="20"/>
        <w:szCs w:val="20"/>
      </w:rPr>
      <w:t>DOCUMENTS IMMEDIATELY AFTER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6DAE" w14:textId="77777777" w:rsidR="00DC6614" w:rsidRDefault="00DC6614">
      <w:r>
        <w:separator/>
      </w:r>
    </w:p>
  </w:footnote>
  <w:footnote w:type="continuationSeparator" w:id="0">
    <w:p w14:paraId="2EB1F93C" w14:textId="77777777" w:rsidR="00DC6614" w:rsidRDefault="00DC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D1EF" w14:textId="77777777" w:rsidR="00014E31" w:rsidRDefault="00126B31">
    <w:pPr>
      <w:pStyle w:val="Header"/>
    </w:pPr>
    <w:r>
      <w:rPr>
        <w:noProof/>
      </w:rPr>
      <w:pict w14:anchorId="4E2DEE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49344" o:spid="_x0000_s1030" type="#_x0000_t136" style="position:absolute;margin-left:0;margin-top:0;width:471pt;height:188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  <w:r>
      <w:rPr>
        <w:noProof/>
      </w:rPr>
      <w:pict w14:anchorId="5332847B">
        <v:shape id="PowerPlusWaterMarkObject2" o:spid="_x0000_s1026" type="#_x0000_t136" style="position:absolute;margin-left:0;margin-top:0;width:456.7pt;height:182.6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9A5E" w14:textId="77777777" w:rsidR="00014E31" w:rsidRDefault="00126B31" w:rsidP="00794493">
    <w:pPr>
      <w:tabs>
        <w:tab w:val="center" w:pos="6300"/>
        <w:tab w:val="right" w:pos="9354"/>
      </w:tabs>
      <w:spacing w:before="0" w:after="0"/>
      <w:rPr>
        <w:rFonts w:ascii="Arial Narrow" w:hAnsi="Arial Narrow"/>
        <w:sz w:val="20"/>
        <w:szCs w:val="20"/>
      </w:rPr>
    </w:pPr>
    <w:r>
      <w:rPr>
        <w:noProof/>
      </w:rPr>
      <w:pict w14:anchorId="541152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49345" o:spid="_x0000_s1031" type="#_x0000_t136" style="position:absolute;margin-left:0;margin-top:0;width:471pt;height:18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  <w:r w:rsidR="00014E31">
      <w:tab/>
    </w:r>
    <w:r w:rsidR="00014E31" w:rsidRPr="004C2347">
      <w:rPr>
        <w:rFonts w:ascii="Arial Narrow" w:hAnsi="Arial Narrow"/>
        <w:sz w:val="20"/>
        <w:szCs w:val="20"/>
      </w:rPr>
      <w:tab/>
    </w:r>
  </w:p>
  <w:p w14:paraId="1DACC751" w14:textId="77777777" w:rsidR="00014E31" w:rsidRDefault="004A3A49" w:rsidP="00794493">
    <w:pPr>
      <w:tabs>
        <w:tab w:val="center" w:pos="6300"/>
        <w:tab w:val="right" w:pos="9354"/>
      </w:tabs>
      <w:spacing w:before="0" w:after="0"/>
      <w:jc w:val="right"/>
      <w:rPr>
        <w:rFonts w:ascii="Arial Narrow" w:hAnsi="Arial Narrow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7A44BD0" wp14:editId="34FD4381">
          <wp:simplePos x="0" y="0"/>
          <wp:positionH relativeFrom="margin">
            <wp:posOffset>108585</wp:posOffset>
          </wp:positionH>
          <wp:positionV relativeFrom="paragraph">
            <wp:posOffset>121920</wp:posOffset>
          </wp:positionV>
          <wp:extent cx="1525270" cy="454025"/>
          <wp:effectExtent l="0" t="0" r="0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31376A4" wp14:editId="4CBB560E">
          <wp:simplePos x="0" y="0"/>
          <wp:positionH relativeFrom="margin">
            <wp:posOffset>154305</wp:posOffset>
          </wp:positionH>
          <wp:positionV relativeFrom="paragraph">
            <wp:posOffset>-276860</wp:posOffset>
          </wp:positionV>
          <wp:extent cx="1449705" cy="429260"/>
          <wp:effectExtent l="0" t="0" r="0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1" layoutInCell="1" allowOverlap="1" wp14:anchorId="49E14741" wp14:editId="62775F3B">
          <wp:simplePos x="0" y="0"/>
          <wp:positionH relativeFrom="page">
            <wp:posOffset>5069205</wp:posOffset>
          </wp:positionH>
          <wp:positionV relativeFrom="page">
            <wp:posOffset>323850</wp:posOffset>
          </wp:positionV>
          <wp:extent cx="1704340" cy="466725"/>
          <wp:effectExtent l="0" t="0" r="0" b="9525"/>
          <wp:wrapNone/>
          <wp:docPr id="4" name="Picture 2" descr="NSW Health South East Sydney LHD - col grad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W Health South East Sydney LHD - col grad 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726A0" w14:textId="77777777" w:rsidR="00014E31" w:rsidRDefault="00014E31" w:rsidP="00794493">
    <w:pPr>
      <w:tabs>
        <w:tab w:val="center" w:pos="6300"/>
        <w:tab w:val="right" w:pos="9354"/>
      </w:tabs>
      <w:spacing w:before="0" w:after="0"/>
      <w:rPr>
        <w:rFonts w:ascii="Arial Narrow" w:hAnsi="Arial Narrow"/>
        <w:sz w:val="20"/>
        <w:szCs w:val="20"/>
      </w:rPr>
    </w:pPr>
  </w:p>
  <w:p w14:paraId="78418470" w14:textId="77777777" w:rsidR="00014E31" w:rsidRDefault="00014E31" w:rsidP="00794493">
    <w:pPr>
      <w:tabs>
        <w:tab w:val="center" w:pos="6300"/>
        <w:tab w:val="right" w:pos="9354"/>
      </w:tabs>
      <w:spacing w:before="0" w:after="0"/>
      <w:jc w:val="right"/>
      <w:rPr>
        <w:rFonts w:ascii="Arial Narrow" w:hAnsi="Arial Narrow"/>
        <w:sz w:val="20"/>
        <w:szCs w:val="20"/>
      </w:rPr>
    </w:pPr>
  </w:p>
  <w:p w14:paraId="0482C55C" w14:textId="0D0E9562" w:rsidR="002500AC" w:rsidRDefault="002500AC" w:rsidP="00794493">
    <w:pPr>
      <w:pBdr>
        <w:bottom w:val="single" w:sz="4" w:space="1" w:color="auto"/>
      </w:pBdr>
      <w:tabs>
        <w:tab w:val="center" w:pos="6300"/>
        <w:tab w:val="right" w:pos="9354"/>
      </w:tabs>
      <w:spacing w:before="0" w:after="0"/>
      <w:jc w:val="right"/>
      <w:rPr>
        <w:rFonts w:cs="Arial"/>
        <w:b/>
        <w:szCs w:val="20"/>
      </w:rPr>
    </w:pPr>
    <w:r>
      <w:rPr>
        <w:rFonts w:cs="Arial"/>
        <w:b/>
        <w:szCs w:val="20"/>
      </w:rPr>
      <w:t xml:space="preserve">TSH </w:t>
    </w:r>
    <w:r w:rsidR="0074605E">
      <w:rPr>
        <w:rFonts w:cs="Arial"/>
        <w:b/>
        <w:szCs w:val="20"/>
      </w:rPr>
      <w:t xml:space="preserve">BR </w:t>
    </w:r>
    <w:r w:rsidR="005503BB">
      <w:rPr>
        <w:rFonts w:cs="Arial"/>
        <w:b/>
        <w:szCs w:val="20"/>
      </w:rPr>
      <w:t>xxx</w:t>
    </w:r>
    <w:r>
      <w:rPr>
        <w:rFonts w:cs="Arial"/>
        <w:b/>
        <w:szCs w:val="20"/>
      </w:rPr>
      <w:t xml:space="preserve"> </w:t>
    </w:r>
    <w:r w:rsidRPr="0002430D">
      <w:rPr>
        <w:rFonts w:cs="Arial"/>
        <w:b/>
        <w:szCs w:val="20"/>
      </w:rPr>
      <w:t>Business Rule</w:t>
    </w:r>
  </w:p>
  <w:p w14:paraId="27DA19E3" w14:textId="77777777" w:rsidR="00014E31" w:rsidRPr="00831D2C" w:rsidRDefault="00014E31" w:rsidP="00794493">
    <w:pPr>
      <w:tabs>
        <w:tab w:val="center" w:pos="6300"/>
        <w:tab w:val="right" w:pos="9354"/>
      </w:tabs>
      <w:spacing w:before="0" w:after="0"/>
      <w:jc w:val="right"/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3460" w14:textId="77777777" w:rsidR="00014E31" w:rsidRDefault="00126B31">
    <w:pPr>
      <w:pStyle w:val="Header"/>
    </w:pPr>
    <w:r>
      <w:rPr>
        <w:noProof/>
      </w:rPr>
      <w:pict w14:anchorId="188D3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49343" o:spid="_x0000_s1029" type="#_x0000_t136" style="position:absolute;margin-left:0;margin-top:0;width:471pt;height:188.4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  <w:r>
      <w:rPr>
        <w:noProof/>
      </w:rPr>
      <w:pict w14:anchorId="7BF8B4A6">
        <v:shape id="PowerPlusWaterMarkObject1" o:spid="_x0000_s1025" type="#_x0000_t136" style="position:absolute;margin-left:0;margin-top:0;width:456.7pt;height:182.6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FEF"/>
    <w:multiLevelType w:val="hybridMultilevel"/>
    <w:tmpl w:val="6FBC07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6EFE0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76B93"/>
    <w:multiLevelType w:val="hybridMultilevel"/>
    <w:tmpl w:val="F8B01E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21AF6"/>
    <w:multiLevelType w:val="hybridMultilevel"/>
    <w:tmpl w:val="FEC8D0BE"/>
    <w:lvl w:ilvl="0" w:tplc="976EFE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2850"/>
    <w:multiLevelType w:val="hybridMultilevel"/>
    <w:tmpl w:val="973C61BA"/>
    <w:lvl w:ilvl="0" w:tplc="976EFE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C3E83"/>
    <w:multiLevelType w:val="hybridMultilevel"/>
    <w:tmpl w:val="DD6ACD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83F22"/>
    <w:multiLevelType w:val="multilevel"/>
    <w:tmpl w:val="65B4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C5023"/>
    <w:multiLevelType w:val="hybridMultilevel"/>
    <w:tmpl w:val="A73C2B2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33F3C"/>
    <w:multiLevelType w:val="hybridMultilevel"/>
    <w:tmpl w:val="4DA060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87FD9"/>
    <w:multiLevelType w:val="hybridMultilevel"/>
    <w:tmpl w:val="0FC69E34"/>
    <w:lvl w:ilvl="0" w:tplc="8772B3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0206"/>
    <w:multiLevelType w:val="hybridMultilevel"/>
    <w:tmpl w:val="124089C6"/>
    <w:lvl w:ilvl="0" w:tplc="1AEE6A1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23315"/>
    <w:multiLevelType w:val="hybridMultilevel"/>
    <w:tmpl w:val="D39EF1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6EFE0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04850"/>
    <w:multiLevelType w:val="hybridMultilevel"/>
    <w:tmpl w:val="759C4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AF1858"/>
    <w:multiLevelType w:val="hybridMultilevel"/>
    <w:tmpl w:val="5112AD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2488F"/>
    <w:multiLevelType w:val="multilevel"/>
    <w:tmpl w:val="9D64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942442">
    <w:abstractNumId w:val="7"/>
  </w:num>
  <w:num w:numId="2" w16cid:durableId="447970180">
    <w:abstractNumId w:val="12"/>
  </w:num>
  <w:num w:numId="3" w16cid:durableId="1209537003">
    <w:abstractNumId w:val="6"/>
  </w:num>
  <w:num w:numId="4" w16cid:durableId="488836543">
    <w:abstractNumId w:val="11"/>
  </w:num>
  <w:num w:numId="5" w16cid:durableId="1697265718">
    <w:abstractNumId w:val="1"/>
  </w:num>
  <w:num w:numId="6" w16cid:durableId="1835607015">
    <w:abstractNumId w:val="2"/>
  </w:num>
  <w:num w:numId="7" w16cid:durableId="379137337">
    <w:abstractNumId w:val="4"/>
  </w:num>
  <w:num w:numId="8" w16cid:durableId="1694262106">
    <w:abstractNumId w:val="3"/>
  </w:num>
  <w:num w:numId="9" w16cid:durableId="129246595">
    <w:abstractNumId w:val="0"/>
  </w:num>
  <w:num w:numId="10" w16cid:durableId="1868441957">
    <w:abstractNumId w:val="10"/>
  </w:num>
  <w:num w:numId="11" w16cid:durableId="868298105">
    <w:abstractNumId w:val="9"/>
  </w:num>
  <w:num w:numId="12" w16cid:durableId="996887169">
    <w:abstractNumId w:val="8"/>
  </w:num>
  <w:num w:numId="13" w16cid:durableId="1410232525">
    <w:abstractNumId w:val="5"/>
  </w:num>
  <w:num w:numId="14" w16cid:durableId="98455493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8A"/>
    <w:rsid w:val="00001FD6"/>
    <w:rsid w:val="00002454"/>
    <w:rsid w:val="0000295A"/>
    <w:rsid w:val="00002C4B"/>
    <w:rsid w:val="00002D6D"/>
    <w:rsid w:val="0000351F"/>
    <w:rsid w:val="00006C2D"/>
    <w:rsid w:val="00010D72"/>
    <w:rsid w:val="00011BAF"/>
    <w:rsid w:val="00012ACF"/>
    <w:rsid w:val="00012BD5"/>
    <w:rsid w:val="00014C9B"/>
    <w:rsid w:val="00014E31"/>
    <w:rsid w:val="0001538C"/>
    <w:rsid w:val="00015C6D"/>
    <w:rsid w:val="00015FB2"/>
    <w:rsid w:val="00016959"/>
    <w:rsid w:val="00017D2B"/>
    <w:rsid w:val="00021FCE"/>
    <w:rsid w:val="00022154"/>
    <w:rsid w:val="0002215B"/>
    <w:rsid w:val="00024EA0"/>
    <w:rsid w:val="00025F83"/>
    <w:rsid w:val="000311B0"/>
    <w:rsid w:val="0003185A"/>
    <w:rsid w:val="000318D0"/>
    <w:rsid w:val="00031E91"/>
    <w:rsid w:val="000321A0"/>
    <w:rsid w:val="000343F9"/>
    <w:rsid w:val="000363E0"/>
    <w:rsid w:val="00041B42"/>
    <w:rsid w:val="00044717"/>
    <w:rsid w:val="000448EE"/>
    <w:rsid w:val="000458B0"/>
    <w:rsid w:val="00046C25"/>
    <w:rsid w:val="00046DC2"/>
    <w:rsid w:val="0004798A"/>
    <w:rsid w:val="00050A36"/>
    <w:rsid w:val="00050FA8"/>
    <w:rsid w:val="00054FA8"/>
    <w:rsid w:val="00057515"/>
    <w:rsid w:val="00062279"/>
    <w:rsid w:val="00062A1B"/>
    <w:rsid w:val="00063283"/>
    <w:rsid w:val="00063321"/>
    <w:rsid w:val="00063D1B"/>
    <w:rsid w:val="00067449"/>
    <w:rsid w:val="00067FB6"/>
    <w:rsid w:val="000700D3"/>
    <w:rsid w:val="000705DB"/>
    <w:rsid w:val="00074E27"/>
    <w:rsid w:val="00074F56"/>
    <w:rsid w:val="0007541F"/>
    <w:rsid w:val="00077CD0"/>
    <w:rsid w:val="00082848"/>
    <w:rsid w:val="000829EC"/>
    <w:rsid w:val="000830E6"/>
    <w:rsid w:val="00083F01"/>
    <w:rsid w:val="00086A72"/>
    <w:rsid w:val="00087AFC"/>
    <w:rsid w:val="00094162"/>
    <w:rsid w:val="00095C6E"/>
    <w:rsid w:val="000965CF"/>
    <w:rsid w:val="00096D83"/>
    <w:rsid w:val="000A1F62"/>
    <w:rsid w:val="000A25A4"/>
    <w:rsid w:val="000A31E3"/>
    <w:rsid w:val="000A4CE7"/>
    <w:rsid w:val="000A57F9"/>
    <w:rsid w:val="000A593D"/>
    <w:rsid w:val="000A5E5E"/>
    <w:rsid w:val="000A6965"/>
    <w:rsid w:val="000A79CD"/>
    <w:rsid w:val="000B1C8A"/>
    <w:rsid w:val="000B23E3"/>
    <w:rsid w:val="000B443A"/>
    <w:rsid w:val="000B4757"/>
    <w:rsid w:val="000C0224"/>
    <w:rsid w:val="000C6CE4"/>
    <w:rsid w:val="000D1067"/>
    <w:rsid w:val="000D1900"/>
    <w:rsid w:val="000D1F07"/>
    <w:rsid w:val="000D4241"/>
    <w:rsid w:val="000D5702"/>
    <w:rsid w:val="000D5D0E"/>
    <w:rsid w:val="000D6441"/>
    <w:rsid w:val="000D6A73"/>
    <w:rsid w:val="000E0119"/>
    <w:rsid w:val="000E18CD"/>
    <w:rsid w:val="000E2E39"/>
    <w:rsid w:val="000E33E2"/>
    <w:rsid w:val="000E4795"/>
    <w:rsid w:val="000E47C1"/>
    <w:rsid w:val="000F1FAF"/>
    <w:rsid w:val="000F37E5"/>
    <w:rsid w:val="000F5E83"/>
    <w:rsid w:val="0010002B"/>
    <w:rsid w:val="0010013F"/>
    <w:rsid w:val="00100CF5"/>
    <w:rsid w:val="00100D00"/>
    <w:rsid w:val="00101F5D"/>
    <w:rsid w:val="00103676"/>
    <w:rsid w:val="00103C81"/>
    <w:rsid w:val="001043D2"/>
    <w:rsid w:val="001048C6"/>
    <w:rsid w:val="00104A69"/>
    <w:rsid w:val="001054B7"/>
    <w:rsid w:val="00106761"/>
    <w:rsid w:val="00106D67"/>
    <w:rsid w:val="001077B8"/>
    <w:rsid w:val="00110763"/>
    <w:rsid w:val="00110E2E"/>
    <w:rsid w:val="00110EB6"/>
    <w:rsid w:val="001119EB"/>
    <w:rsid w:val="00112B5F"/>
    <w:rsid w:val="00112CF0"/>
    <w:rsid w:val="001138FF"/>
    <w:rsid w:val="00113AC1"/>
    <w:rsid w:val="00113FF1"/>
    <w:rsid w:val="00115581"/>
    <w:rsid w:val="001167BA"/>
    <w:rsid w:val="00117E6A"/>
    <w:rsid w:val="00122BE8"/>
    <w:rsid w:val="00122CF2"/>
    <w:rsid w:val="0012542E"/>
    <w:rsid w:val="00125E0A"/>
    <w:rsid w:val="00126B31"/>
    <w:rsid w:val="00126C1B"/>
    <w:rsid w:val="00126E65"/>
    <w:rsid w:val="00127241"/>
    <w:rsid w:val="00130249"/>
    <w:rsid w:val="00131E42"/>
    <w:rsid w:val="00132A41"/>
    <w:rsid w:val="0013302C"/>
    <w:rsid w:val="00133278"/>
    <w:rsid w:val="0013628C"/>
    <w:rsid w:val="00141622"/>
    <w:rsid w:val="00144F2F"/>
    <w:rsid w:val="00145356"/>
    <w:rsid w:val="00145787"/>
    <w:rsid w:val="0014653F"/>
    <w:rsid w:val="00152455"/>
    <w:rsid w:val="001531EE"/>
    <w:rsid w:val="001532F6"/>
    <w:rsid w:val="00154094"/>
    <w:rsid w:val="001553D3"/>
    <w:rsid w:val="0015543B"/>
    <w:rsid w:val="00155995"/>
    <w:rsid w:val="00160B7F"/>
    <w:rsid w:val="00161AA2"/>
    <w:rsid w:val="00161D3C"/>
    <w:rsid w:val="00162CBF"/>
    <w:rsid w:val="00163AAA"/>
    <w:rsid w:val="001700F7"/>
    <w:rsid w:val="0017173E"/>
    <w:rsid w:val="00171C12"/>
    <w:rsid w:val="00172A52"/>
    <w:rsid w:val="00174AA1"/>
    <w:rsid w:val="001770E5"/>
    <w:rsid w:val="001803FF"/>
    <w:rsid w:val="00180CBC"/>
    <w:rsid w:val="001836C5"/>
    <w:rsid w:val="00186645"/>
    <w:rsid w:val="00186D5A"/>
    <w:rsid w:val="00187800"/>
    <w:rsid w:val="00187F2C"/>
    <w:rsid w:val="00190970"/>
    <w:rsid w:val="00191346"/>
    <w:rsid w:val="00192B96"/>
    <w:rsid w:val="00192F84"/>
    <w:rsid w:val="0019380C"/>
    <w:rsid w:val="00193879"/>
    <w:rsid w:val="001940E9"/>
    <w:rsid w:val="00195959"/>
    <w:rsid w:val="001965CF"/>
    <w:rsid w:val="00197CA0"/>
    <w:rsid w:val="00197D16"/>
    <w:rsid w:val="00197EE9"/>
    <w:rsid w:val="001A22CD"/>
    <w:rsid w:val="001A22DA"/>
    <w:rsid w:val="001A5B2A"/>
    <w:rsid w:val="001A6201"/>
    <w:rsid w:val="001A6780"/>
    <w:rsid w:val="001A7387"/>
    <w:rsid w:val="001B012A"/>
    <w:rsid w:val="001B2782"/>
    <w:rsid w:val="001B4D64"/>
    <w:rsid w:val="001B55DF"/>
    <w:rsid w:val="001B6730"/>
    <w:rsid w:val="001C003C"/>
    <w:rsid w:val="001C243F"/>
    <w:rsid w:val="001C68C3"/>
    <w:rsid w:val="001C6B17"/>
    <w:rsid w:val="001C6EBE"/>
    <w:rsid w:val="001D1C04"/>
    <w:rsid w:val="001D4901"/>
    <w:rsid w:val="001D5C30"/>
    <w:rsid w:val="001D608E"/>
    <w:rsid w:val="001D6C8F"/>
    <w:rsid w:val="001E1AA3"/>
    <w:rsid w:val="001E1FCC"/>
    <w:rsid w:val="001E43F6"/>
    <w:rsid w:val="001E4436"/>
    <w:rsid w:val="001E4472"/>
    <w:rsid w:val="001E5961"/>
    <w:rsid w:val="001F04BB"/>
    <w:rsid w:val="001F0A7B"/>
    <w:rsid w:val="001F294D"/>
    <w:rsid w:val="001F2FB7"/>
    <w:rsid w:val="001F3284"/>
    <w:rsid w:val="001F38FF"/>
    <w:rsid w:val="001F5CAA"/>
    <w:rsid w:val="001F67D5"/>
    <w:rsid w:val="001F6B8A"/>
    <w:rsid w:val="001F6BD0"/>
    <w:rsid w:val="00203F75"/>
    <w:rsid w:val="00207479"/>
    <w:rsid w:val="00210767"/>
    <w:rsid w:val="0021119F"/>
    <w:rsid w:val="0021218A"/>
    <w:rsid w:val="00212506"/>
    <w:rsid w:val="00213811"/>
    <w:rsid w:val="00213FCC"/>
    <w:rsid w:val="00214AB1"/>
    <w:rsid w:val="00214E56"/>
    <w:rsid w:val="0021521C"/>
    <w:rsid w:val="00215386"/>
    <w:rsid w:val="00215966"/>
    <w:rsid w:val="00217381"/>
    <w:rsid w:val="002207C7"/>
    <w:rsid w:val="00220964"/>
    <w:rsid w:val="00220AE7"/>
    <w:rsid w:val="0022297E"/>
    <w:rsid w:val="00223AB1"/>
    <w:rsid w:val="002250BC"/>
    <w:rsid w:val="002252EB"/>
    <w:rsid w:val="0022604D"/>
    <w:rsid w:val="002262E6"/>
    <w:rsid w:val="0022689F"/>
    <w:rsid w:val="00226F34"/>
    <w:rsid w:val="00232BB1"/>
    <w:rsid w:val="00232E00"/>
    <w:rsid w:val="00234362"/>
    <w:rsid w:val="00235851"/>
    <w:rsid w:val="002366A6"/>
    <w:rsid w:val="00237DAF"/>
    <w:rsid w:val="002419FD"/>
    <w:rsid w:val="00242F61"/>
    <w:rsid w:val="00243003"/>
    <w:rsid w:val="00243085"/>
    <w:rsid w:val="002431F9"/>
    <w:rsid w:val="0024346F"/>
    <w:rsid w:val="00245CA7"/>
    <w:rsid w:val="002464E3"/>
    <w:rsid w:val="00246F58"/>
    <w:rsid w:val="002470D9"/>
    <w:rsid w:val="00247B41"/>
    <w:rsid w:val="002500AC"/>
    <w:rsid w:val="00251475"/>
    <w:rsid w:val="002515B8"/>
    <w:rsid w:val="00255112"/>
    <w:rsid w:val="00255AA0"/>
    <w:rsid w:val="00262CF2"/>
    <w:rsid w:val="00263BA8"/>
    <w:rsid w:val="0026467D"/>
    <w:rsid w:val="00264849"/>
    <w:rsid w:val="00264D92"/>
    <w:rsid w:val="00265B65"/>
    <w:rsid w:val="00266085"/>
    <w:rsid w:val="002672F4"/>
    <w:rsid w:val="00271AEF"/>
    <w:rsid w:val="00273F36"/>
    <w:rsid w:val="00274049"/>
    <w:rsid w:val="0027431D"/>
    <w:rsid w:val="002760D9"/>
    <w:rsid w:val="00281AF4"/>
    <w:rsid w:val="00282147"/>
    <w:rsid w:val="0028279D"/>
    <w:rsid w:val="00282D80"/>
    <w:rsid w:val="00284528"/>
    <w:rsid w:val="00285657"/>
    <w:rsid w:val="00286F1C"/>
    <w:rsid w:val="00290400"/>
    <w:rsid w:val="0029258A"/>
    <w:rsid w:val="0029286F"/>
    <w:rsid w:val="00294AED"/>
    <w:rsid w:val="00294D8E"/>
    <w:rsid w:val="0029792C"/>
    <w:rsid w:val="002A2756"/>
    <w:rsid w:val="002A533B"/>
    <w:rsid w:val="002B07F8"/>
    <w:rsid w:val="002B0FF6"/>
    <w:rsid w:val="002B28A5"/>
    <w:rsid w:val="002B4680"/>
    <w:rsid w:val="002B4754"/>
    <w:rsid w:val="002B6B18"/>
    <w:rsid w:val="002B782D"/>
    <w:rsid w:val="002C1092"/>
    <w:rsid w:val="002C2265"/>
    <w:rsid w:val="002C2C7A"/>
    <w:rsid w:val="002C2D0E"/>
    <w:rsid w:val="002C46A3"/>
    <w:rsid w:val="002C5848"/>
    <w:rsid w:val="002D2F3F"/>
    <w:rsid w:val="002D4BE0"/>
    <w:rsid w:val="002D5A94"/>
    <w:rsid w:val="002D5ACA"/>
    <w:rsid w:val="002D7B36"/>
    <w:rsid w:val="002D7C11"/>
    <w:rsid w:val="002E08EC"/>
    <w:rsid w:val="002E0A2B"/>
    <w:rsid w:val="002E4724"/>
    <w:rsid w:val="002F006C"/>
    <w:rsid w:val="002F016F"/>
    <w:rsid w:val="002F1B5D"/>
    <w:rsid w:val="002F5926"/>
    <w:rsid w:val="00300918"/>
    <w:rsid w:val="00300CD7"/>
    <w:rsid w:val="00301DBA"/>
    <w:rsid w:val="00302F27"/>
    <w:rsid w:val="00303868"/>
    <w:rsid w:val="00304935"/>
    <w:rsid w:val="0030782C"/>
    <w:rsid w:val="003116FB"/>
    <w:rsid w:val="0031222D"/>
    <w:rsid w:val="00312B5B"/>
    <w:rsid w:val="003132B1"/>
    <w:rsid w:val="00314241"/>
    <w:rsid w:val="0031690E"/>
    <w:rsid w:val="00317E66"/>
    <w:rsid w:val="00317E7C"/>
    <w:rsid w:val="0032182E"/>
    <w:rsid w:val="00321E81"/>
    <w:rsid w:val="00323A4A"/>
    <w:rsid w:val="00323E98"/>
    <w:rsid w:val="00324775"/>
    <w:rsid w:val="0032484D"/>
    <w:rsid w:val="00326DD4"/>
    <w:rsid w:val="003307FA"/>
    <w:rsid w:val="00330D8C"/>
    <w:rsid w:val="00333520"/>
    <w:rsid w:val="00334F49"/>
    <w:rsid w:val="003353C5"/>
    <w:rsid w:val="003414DB"/>
    <w:rsid w:val="003425ED"/>
    <w:rsid w:val="00343041"/>
    <w:rsid w:val="003441E8"/>
    <w:rsid w:val="003465A4"/>
    <w:rsid w:val="003467E7"/>
    <w:rsid w:val="00351164"/>
    <w:rsid w:val="00351667"/>
    <w:rsid w:val="00351801"/>
    <w:rsid w:val="003535B4"/>
    <w:rsid w:val="00353772"/>
    <w:rsid w:val="003548F7"/>
    <w:rsid w:val="00357DDF"/>
    <w:rsid w:val="00364DF2"/>
    <w:rsid w:val="0036792C"/>
    <w:rsid w:val="00367F4E"/>
    <w:rsid w:val="00370AB2"/>
    <w:rsid w:val="00371D60"/>
    <w:rsid w:val="00373557"/>
    <w:rsid w:val="003746BC"/>
    <w:rsid w:val="00377FD4"/>
    <w:rsid w:val="003815C8"/>
    <w:rsid w:val="00381F80"/>
    <w:rsid w:val="003820EA"/>
    <w:rsid w:val="003826BB"/>
    <w:rsid w:val="00382D15"/>
    <w:rsid w:val="00384EA5"/>
    <w:rsid w:val="00385C6A"/>
    <w:rsid w:val="003909C7"/>
    <w:rsid w:val="00390A79"/>
    <w:rsid w:val="003921EB"/>
    <w:rsid w:val="00392FFD"/>
    <w:rsid w:val="00393080"/>
    <w:rsid w:val="003935C2"/>
    <w:rsid w:val="0039389A"/>
    <w:rsid w:val="0039398A"/>
    <w:rsid w:val="00396289"/>
    <w:rsid w:val="003A02BA"/>
    <w:rsid w:val="003A07A8"/>
    <w:rsid w:val="003A2501"/>
    <w:rsid w:val="003A25AC"/>
    <w:rsid w:val="003A2A19"/>
    <w:rsid w:val="003A2B6B"/>
    <w:rsid w:val="003A30B1"/>
    <w:rsid w:val="003A3882"/>
    <w:rsid w:val="003A3A26"/>
    <w:rsid w:val="003B00D7"/>
    <w:rsid w:val="003B0406"/>
    <w:rsid w:val="003B10BC"/>
    <w:rsid w:val="003B1D82"/>
    <w:rsid w:val="003B4E7C"/>
    <w:rsid w:val="003B5429"/>
    <w:rsid w:val="003B650B"/>
    <w:rsid w:val="003B6A55"/>
    <w:rsid w:val="003B7444"/>
    <w:rsid w:val="003C05C7"/>
    <w:rsid w:val="003C12DA"/>
    <w:rsid w:val="003C1300"/>
    <w:rsid w:val="003C14C5"/>
    <w:rsid w:val="003C1566"/>
    <w:rsid w:val="003C3FBB"/>
    <w:rsid w:val="003C4567"/>
    <w:rsid w:val="003C5491"/>
    <w:rsid w:val="003C57FB"/>
    <w:rsid w:val="003C58E8"/>
    <w:rsid w:val="003C654B"/>
    <w:rsid w:val="003D0634"/>
    <w:rsid w:val="003D09F4"/>
    <w:rsid w:val="003D12A0"/>
    <w:rsid w:val="003D2519"/>
    <w:rsid w:val="003D3EED"/>
    <w:rsid w:val="003D3FBF"/>
    <w:rsid w:val="003D7211"/>
    <w:rsid w:val="003E6FA7"/>
    <w:rsid w:val="003E71C6"/>
    <w:rsid w:val="003E760E"/>
    <w:rsid w:val="003F0C9F"/>
    <w:rsid w:val="003F3570"/>
    <w:rsid w:val="003F60A4"/>
    <w:rsid w:val="003F665B"/>
    <w:rsid w:val="003F770F"/>
    <w:rsid w:val="0040026D"/>
    <w:rsid w:val="004002F0"/>
    <w:rsid w:val="004014EE"/>
    <w:rsid w:val="0040173C"/>
    <w:rsid w:val="00401CCD"/>
    <w:rsid w:val="00404B4E"/>
    <w:rsid w:val="00406541"/>
    <w:rsid w:val="00407D50"/>
    <w:rsid w:val="00410A7E"/>
    <w:rsid w:val="00410DF8"/>
    <w:rsid w:val="00411A31"/>
    <w:rsid w:val="00414414"/>
    <w:rsid w:val="00414A27"/>
    <w:rsid w:val="0041526D"/>
    <w:rsid w:val="00415F4E"/>
    <w:rsid w:val="004161BB"/>
    <w:rsid w:val="0041639B"/>
    <w:rsid w:val="00416A2A"/>
    <w:rsid w:val="00417CCC"/>
    <w:rsid w:val="00420826"/>
    <w:rsid w:val="00421DF0"/>
    <w:rsid w:val="00423055"/>
    <w:rsid w:val="00423652"/>
    <w:rsid w:val="00423796"/>
    <w:rsid w:val="00423C34"/>
    <w:rsid w:val="00427218"/>
    <w:rsid w:val="00430120"/>
    <w:rsid w:val="00430B58"/>
    <w:rsid w:val="00430BAC"/>
    <w:rsid w:val="00437A6B"/>
    <w:rsid w:val="00440BC4"/>
    <w:rsid w:val="0044208C"/>
    <w:rsid w:val="00442D7E"/>
    <w:rsid w:val="00442DA9"/>
    <w:rsid w:val="00446A58"/>
    <w:rsid w:val="0044749C"/>
    <w:rsid w:val="00453FE1"/>
    <w:rsid w:val="00454420"/>
    <w:rsid w:val="00455887"/>
    <w:rsid w:val="00456258"/>
    <w:rsid w:val="00456A7A"/>
    <w:rsid w:val="004643F2"/>
    <w:rsid w:val="00464C83"/>
    <w:rsid w:val="004671A5"/>
    <w:rsid w:val="00467E2A"/>
    <w:rsid w:val="004714FA"/>
    <w:rsid w:val="00475A59"/>
    <w:rsid w:val="00475BCA"/>
    <w:rsid w:val="00480415"/>
    <w:rsid w:val="00480DFA"/>
    <w:rsid w:val="004812A6"/>
    <w:rsid w:val="004814EA"/>
    <w:rsid w:val="00481799"/>
    <w:rsid w:val="00484898"/>
    <w:rsid w:val="004876D4"/>
    <w:rsid w:val="00487DF4"/>
    <w:rsid w:val="00490DA5"/>
    <w:rsid w:val="00493B13"/>
    <w:rsid w:val="00493B64"/>
    <w:rsid w:val="00496357"/>
    <w:rsid w:val="004968E6"/>
    <w:rsid w:val="00497598"/>
    <w:rsid w:val="004A0DC2"/>
    <w:rsid w:val="004A12B0"/>
    <w:rsid w:val="004A3A49"/>
    <w:rsid w:val="004A3E24"/>
    <w:rsid w:val="004A66D5"/>
    <w:rsid w:val="004A7475"/>
    <w:rsid w:val="004A7B40"/>
    <w:rsid w:val="004B4006"/>
    <w:rsid w:val="004B421C"/>
    <w:rsid w:val="004B674C"/>
    <w:rsid w:val="004B7700"/>
    <w:rsid w:val="004C2271"/>
    <w:rsid w:val="004C2347"/>
    <w:rsid w:val="004C2592"/>
    <w:rsid w:val="004C3F55"/>
    <w:rsid w:val="004C5319"/>
    <w:rsid w:val="004D16CA"/>
    <w:rsid w:val="004D17B1"/>
    <w:rsid w:val="004D1A94"/>
    <w:rsid w:val="004D1B6F"/>
    <w:rsid w:val="004D3D34"/>
    <w:rsid w:val="004D4733"/>
    <w:rsid w:val="004D4A13"/>
    <w:rsid w:val="004D4BAB"/>
    <w:rsid w:val="004D5E33"/>
    <w:rsid w:val="004D6557"/>
    <w:rsid w:val="004D686E"/>
    <w:rsid w:val="004D6D22"/>
    <w:rsid w:val="004E038C"/>
    <w:rsid w:val="004E14FD"/>
    <w:rsid w:val="004E448F"/>
    <w:rsid w:val="004E4F45"/>
    <w:rsid w:val="004E5C70"/>
    <w:rsid w:val="004E648C"/>
    <w:rsid w:val="004E699F"/>
    <w:rsid w:val="004E7179"/>
    <w:rsid w:val="004E76B0"/>
    <w:rsid w:val="004E788B"/>
    <w:rsid w:val="004E7E19"/>
    <w:rsid w:val="004F00DD"/>
    <w:rsid w:val="004F24A3"/>
    <w:rsid w:val="004F3128"/>
    <w:rsid w:val="004F4366"/>
    <w:rsid w:val="004F56E0"/>
    <w:rsid w:val="004F5EB8"/>
    <w:rsid w:val="004F757C"/>
    <w:rsid w:val="005000AD"/>
    <w:rsid w:val="00504479"/>
    <w:rsid w:val="00505657"/>
    <w:rsid w:val="0050597E"/>
    <w:rsid w:val="00505D11"/>
    <w:rsid w:val="005070C2"/>
    <w:rsid w:val="0050798F"/>
    <w:rsid w:val="00510320"/>
    <w:rsid w:val="00511372"/>
    <w:rsid w:val="00512BE5"/>
    <w:rsid w:val="00515155"/>
    <w:rsid w:val="00515291"/>
    <w:rsid w:val="00515800"/>
    <w:rsid w:val="00517C9D"/>
    <w:rsid w:val="0052123A"/>
    <w:rsid w:val="00521947"/>
    <w:rsid w:val="00523D4F"/>
    <w:rsid w:val="005270C8"/>
    <w:rsid w:val="00532696"/>
    <w:rsid w:val="00534037"/>
    <w:rsid w:val="00534056"/>
    <w:rsid w:val="005349C4"/>
    <w:rsid w:val="00535050"/>
    <w:rsid w:val="00535560"/>
    <w:rsid w:val="00537F01"/>
    <w:rsid w:val="0054242E"/>
    <w:rsid w:val="00542C13"/>
    <w:rsid w:val="005451D1"/>
    <w:rsid w:val="005503BB"/>
    <w:rsid w:val="00551A08"/>
    <w:rsid w:val="005528FF"/>
    <w:rsid w:val="0055372D"/>
    <w:rsid w:val="005558DE"/>
    <w:rsid w:val="005572A5"/>
    <w:rsid w:val="00561309"/>
    <w:rsid w:val="0056327A"/>
    <w:rsid w:val="00564B3B"/>
    <w:rsid w:val="00565C1F"/>
    <w:rsid w:val="00566F5F"/>
    <w:rsid w:val="00567364"/>
    <w:rsid w:val="00567837"/>
    <w:rsid w:val="00567E8C"/>
    <w:rsid w:val="00567F8C"/>
    <w:rsid w:val="005720AA"/>
    <w:rsid w:val="00572365"/>
    <w:rsid w:val="00573A17"/>
    <w:rsid w:val="00574032"/>
    <w:rsid w:val="005741FF"/>
    <w:rsid w:val="00574C2F"/>
    <w:rsid w:val="005759EE"/>
    <w:rsid w:val="00577A41"/>
    <w:rsid w:val="005815A0"/>
    <w:rsid w:val="00581603"/>
    <w:rsid w:val="00582243"/>
    <w:rsid w:val="00582EE7"/>
    <w:rsid w:val="0058456B"/>
    <w:rsid w:val="00585FB5"/>
    <w:rsid w:val="0058739D"/>
    <w:rsid w:val="005913DA"/>
    <w:rsid w:val="005916A5"/>
    <w:rsid w:val="0059487D"/>
    <w:rsid w:val="00597CBA"/>
    <w:rsid w:val="005A10D2"/>
    <w:rsid w:val="005A3262"/>
    <w:rsid w:val="005A3B77"/>
    <w:rsid w:val="005A4245"/>
    <w:rsid w:val="005A5666"/>
    <w:rsid w:val="005A69CE"/>
    <w:rsid w:val="005B2645"/>
    <w:rsid w:val="005B2B57"/>
    <w:rsid w:val="005B3E09"/>
    <w:rsid w:val="005B428B"/>
    <w:rsid w:val="005B4CE4"/>
    <w:rsid w:val="005B4D30"/>
    <w:rsid w:val="005B72C8"/>
    <w:rsid w:val="005B7E0F"/>
    <w:rsid w:val="005C0872"/>
    <w:rsid w:val="005C0A38"/>
    <w:rsid w:val="005C0AC9"/>
    <w:rsid w:val="005C0B37"/>
    <w:rsid w:val="005C12E3"/>
    <w:rsid w:val="005C181A"/>
    <w:rsid w:val="005C1897"/>
    <w:rsid w:val="005C1CAE"/>
    <w:rsid w:val="005C2BED"/>
    <w:rsid w:val="005C3312"/>
    <w:rsid w:val="005C3A2D"/>
    <w:rsid w:val="005C58CA"/>
    <w:rsid w:val="005C65A4"/>
    <w:rsid w:val="005C6930"/>
    <w:rsid w:val="005C724A"/>
    <w:rsid w:val="005D31E8"/>
    <w:rsid w:val="005D3556"/>
    <w:rsid w:val="005D5168"/>
    <w:rsid w:val="005D59A2"/>
    <w:rsid w:val="005D5B92"/>
    <w:rsid w:val="005E03AE"/>
    <w:rsid w:val="005E081A"/>
    <w:rsid w:val="005E11DF"/>
    <w:rsid w:val="005E1618"/>
    <w:rsid w:val="005E2A53"/>
    <w:rsid w:val="005E51C8"/>
    <w:rsid w:val="005E7CC7"/>
    <w:rsid w:val="005E7E19"/>
    <w:rsid w:val="005F11CF"/>
    <w:rsid w:val="005F1A51"/>
    <w:rsid w:val="005F2684"/>
    <w:rsid w:val="005F4EEA"/>
    <w:rsid w:val="005F5665"/>
    <w:rsid w:val="005F5894"/>
    <w:rsid w:val="005F62A2"/>
    <w:rsid w:val="00600050"/>
    <w:rsid w:val="00600BCB"/>
    <w:rsid w:val="00601DFA"/>
    <w:rsid w:val="00601E7D"/>
    <w:rsid w:val="00601FF3"/>
    <w:rsid w:val="006032E1"/>
    <w:rsid w:val="00604456"/>
    <w:rsid w:val="00605F53"/>
    <w:rsid w:val="00606D25"/>
    <w:rsid w:val="006078F5"/>
    <w:rsid w:val="00607E29"/>
    <w:rsid w:val="00607FB1"/>
    <w:rsid w:val="00612ED7"/>
    <w:rsid w:val="006144C0"/>
    <w:rsid w:val="0061458C"/>
    <w:rsid w:val="00616212"/>
    <w:rsid w:val="00622493"/>
    <w:rsid w:val="006224DB"/>
    <w:rsid w:val="0062369C"/>
    <w:rsid w:val="0062378F"/>
    <w:rsid w:val="00624B98"/>
    <w:rsid w:val="00625831"/>
    <w:rsid w:val="00625B4A"/>
    <w:rsid w:val="00626616"/>
    <w:rsid w:val="00630601"/>
    <w:rsid w:val="00631B18"/>
    <w:rsid w:val="00633930"/>
    <w:rsid w:val="00633AFE"/>
    <w:rsid w:val="00634C83"/>
    <w:rsid w:val="0064477B"/>
    <w:rsid w:val="0064620C"/>
    <w:rsid w:val="006505A4"/>
    <w:rsid w:val="00650C80"/>
    <w:rsid w:val="0065239B"/>
    <w:rsid w:val="00652525"/>
    <w:rsid w:val="00654E14"/>
    <w:rsid w:val="006604D1"/>
    <w:rsid w:val="00660CBE"/>
    <w:rsid w:val="0066275D"/>
    <w:rsid w:val="00662D4D"/>
    <w:rsid w:val="006630B8"/>
    <w:rsid w:val="00663E5D"/>
    <w:rsid w:val="0066572D"/>
    <w:rsid w:val="00665DB3"/>
    <w:rsid w:val="006660F0"/>
    <w:rsid w:val="00670453"/>
    <w:rsid w:val="00670E5F"/>
    <w:rsid w:val="0067222D"/>
    <w:rsid w:val="00672984"/>
    <w:rsid w:val="006736B4"/>
    <w:rsid w:val="006737C9"/>
    <w:rsid w:val="00673DBF"/>
    <w:rsid w:val="006740B0"/>
    <w:rsid w:val="00674369"/>
    <w:rsid w:val="006749BB"/>
    <w:rsid w:val="00674F9F"/>
    <w:rsid w:val="006750F5"/>
    <w:rsid w:val="00675D53"/>
    <w:rsid w:val="00676DA6"/>
    <w:rsid w:val="006805C1"/>
    <w:rsid w:val="00681669"/>
    <w:rsid w:val="0068197E"/>
    <w:rsid w:val="00683BBD"/>
    <w:rsid w:val="00684774"/>
    <w:rsid w:val="00687547"/>
    <w:rsid w:val="0068793C"/>
    <w:rsid w:val="00687D97"/>
    <w:rsid w:val="00690CB8"/>
    <w:rsid w:val="00693D41"/>
    <w:rsid w:val="00695BEA"/>
    <w:rsid w:val="00695C22"/>
    <w:rsid w:val="006979BE"/>
    <w:rsid w:val="006A00EC"/>
    <w:rsid w:val="006A08CB"/>
    <w:rsid w:val="006A28B0"/>
    <w:rsid w:val="006A2DD3"/>
    <w:rsid w:val="006A335D"/>
    <w:rsid w:val="006A4B99"/>
    <w:rsid w:val="006A5DE4"/>
    <w:rsid w:val="006A673B"/>
    <w:rsid w:val="006A7FEB"/>
    <w:rsid w:val="006B2CDA"/>
    <w:rsid w:val="006B35F2"/>
    <w:rsid w:val="006B3817"/>
    <w:rsid w:val="006B3EAA"/>
    <w:rsid w:val="006B5AC8"/>
    <w:rsid w:val="006B6E30"/>
    <w:rsid w:val="006B7D1D"/>
    <w:rsid w:val="006C2AFC"/>
    <w:rsid w:val="006C2B60"/>
    <w:rsid w:val="006C6654"/>
    <w:rsid w:val="006C7188"/>
    <w:rsid w:val="006C7858"/>
    <w:rsid w:val="006D14D2"/>
    <w:rsid w:val="006D3DE5"/>
    <w:rsid w:val="006D4925"/>
    <w:rsid w:val="006D5758"/>
    <w:rsid w:val="006D7A7A"/>
    <w:rsid w:val="006E02C1"/>
    <w:rsid w:val="006E03D9"/>
    <w:rsid w:val="006E090C"/>
    <w:rsid w:val="006E1671"/>
    <w:rsid w:val="006E342C"/>
    <w:rsid w:val="006E7D2A"/>
    <w:rsid w:val="006E7FAD"/>
    <w:rsid w:val="006F00C4"/>
    <w:rsid w:val="006F409A"/>
    <w:rsid w:val="006F459C"/>
    <w:rsid w:val="006F4C53"/>
    <w:rsid w:val="006F5B1E"/>
    <w:rsid w:val="00700528"/>
    <w:rsid w:val="00702A13"/>
    <w:rsid w:val="00703577"/>
    <w:rsid w:val="00703F2D"/>
    <w:rsid w:val="0070441A"/>
    <w:rsid w:val="00705810"/>
    <w:rsid w:val="007066BD"/>
    <w:rsid w:val="00707455"/>
    <w:rsid w:val="007103A2"/>
    <w:rsid w:val="00710790"/>
    <w:rsid w:val="00710FFD"/>
    <w:rsid w:val="007144BA"/>
    <w:rsid w:val="00716BFA"/>
    <w:rsid w:val="00717BB8"/>
    <w:rsid w:val="0072038C"/>
    <w:rsid w:val="00720E68"/>
    <w:rsid w:val="007220F3"/>
    <w:rsid w:val="0072632E"/>
    <w:rsid w:val="00727CCB"/>
    <w:rsid w:val="00730EB3"/>
    <w:rsid w:val="00730F19"/>
    <w:rsid w:val="00733309"/>
    <w:rsid w:val="00733E59"/>
    <w:rsid w:val="007342F0"/>
    <w:rsid w:val="00734636"/>
    <w:rsid w:val="00735E81"/>
    <w:rsid w:val="00736B7A"/>
    <w:rsid w:val="00736BA7"/>
    <w:rsid w:val="00737419"/>
    <w:rsid w:val="00737CF3"/>
    <w:rsid w:val="00742DB8"/>
    <w:rsid w:val="00743C2B"/>
    <w:rsid w:val="0074605E"/>
    <w:rsid w:val="007461A6"/>
    <w:rsid w:val="00746507"/>
    <w:rsid w:val="0074680C"/>
    <w:rsid w:val="007506E4"/>
    <w:rsid w:val="007509DB"/>
    <w:rsid w:val="00751828"/>
    <w:rsid w:val="00752094"/>
    <w:rsid w:val="00753FA8"/>
    <w:rsid w:val="007546FB"/>
    <w:rsid w:val="00754C07"/>
    <w:rsid w:val="0075597B"/>
    <w:rsid w:val="00762691"/>
    <w:rsid w:val="00762BB0"/>
    <w:rsid w:val="00762F07"/>
    <w:rsid w:val="007630DA"/>
    <w:rsid w:val="00767C6D"/>
    <w:rsid w:val="00770196"/>
    <w:rsid w:val="007730F4"/>
    <w:rsid w:val="00773E42"/>
    <w:rsid w:val="00776CF5"/>
    <w:rsid w:val="00777DF7"/>
    <w:rsid w:val="00777FC9"/>
    <w:rsid w:val="00781FD5"/>
    <w:rsid w:val="00782175"/>
    <w:rsid w:val="00782AEB"/>
    <w:rsid w:val="00786DBE"/>
    <w:rsid w:val="00787103"/>
    <w:rsid w:val="00793640"/>
    <w:rsid w:val="00794493"/>
    <w:rsid w:val="00794EA9"/>
    <w:rsid w:val="007A54B4"/>
    <w:rsid w:val="007A584C"/>
    <w:rsid w:val="007A72BE"/>
    <w:rsid w:val="007A7427"/>
    <w:rsid w:val="007A79E4"/>
    <w:rsid w:val="007B14A5"/>
    <w:rsid w:val="007B1811"/>
    <w:rsid w:val="007B318B"/>
    <w:rsid w:val="007B5E17"/>
    <w:rsid w:val="007B7A44"/>
    <w:rsid w:val="007C1656"/>
    <w:rsid w:val="007C2161"/>
    <w:rsid w:val="007C37C9"/>
    <w:rsid w:val="007C3E5A"/>
    <w:rsid w:val="007C5346"/>
    <w:rsid w:val="007C6209"/>
    <w:rsid w:val="007C6702"/>
    <w:rsid w:val="007D043F"/>
    <w:rsid w:val="007D0ADF"/>
    <w:rsid w:val="007D0B9B"/>
    <w:rsid w:val="007D28FB"/>
    <w:rsid w:val="007D2DDE"/>
    <w:rsid w:val="007D5390"/>
    <w:rsid w:val="007D6837"/>
    <w:rsid w:val="007E05B7"/>
    <w:rsid w:val="007E065C"/>
    <w:rsid w:val="007E0886"/>
    <w:rsid w:val="007E15DA"/>
    <w:rsid w:val="007E1796"/>
    <w:rsid w:val="007E2D32"/>
    <w:rsid w:val="007E3A78"/>
    <w:rsid w:val="007E4094"/>
    <w:rsid w:val="007E4AB0"/>
    <w:rsid w:val="007E55A0"/>
    <w:rsid w:val="007E5D94"/>
    <w:rsid w:val="007E6589"/>
    <w:rsid w:val="007E6A8B"/>
    <w:rsid w:val="007E7006"/>
    <w:rsid w:val="007F09DD"/>
    <w:rsid w:val="007F18DA"/>
    <w:rsid w:val="007F4F02"/>
    <w:rsid w:val="007F5376"/>
    <w:rsid w:val="007F569E"/>
    <w:rsid w:val="007F60AB"/>
    <w:rsid w:val="00800EB3"/>
    <w:rsid w:val="00800F43"/>
    <w:rsid w:val="00801C9F"/>
    <w:rsid w:val="0080236C"/>
    <w:rsid w:val="008024F3"/>
    <w:rsid w:val="008029E6"/>
    <w:rsid w:val="0080467A"/>
    <w:rsid w:val="008047A8"/>
    <w:rsid w:val="00804BD2"/>
    <w:rsid w:val="008055EC"/>
    <w:rsid w:val="008056E4"/>
    <w:rsid w:val="00806D4D"/>
    <w:rsid w:val="00807439"/>
    <w:rsid w:val="00807670"/>
    <w:rsid w:val="00807C98"/>
    <w:rsid w:val="00810591"/>
    <w:rsid w:val="0081127F"/>
    <w:rsid w:val="00812AE9"/>
    <w:rsid w:val="008130D5"/>
    <w:rsid w:val="00815A58"/>
    <w:rsid w:val="00815D07"/>
    <w:rsid w:val="008162B3"/>
    <w:rsid w:val="00817EB3"/>
    <w:rsid w:val="00817EBB"/>
    <w:rsid w:val="0082271D"/>
    <w:rsid w:val="00824BC5"/>
    <w:rsid w:val="00825466"/>
    <w:rsid w:val="00827292"/>
    <w:rsid w:val="00831D2C"/>
    <w:rsid w:val="008328BB"/>
    <w:rsid w:val="008329C9"/>
    <w:rsid w:val="00832E8F"/>
    <w:rsid w:val="00833AB1"/>
    <w:rsid w:val="00834584"/>
    <w:rsid w:val="00836044"/>
    <w:rsid w:val="00841311"/>
    <w:rsid w:val="00841F0F"/>
    <w:rsid w:val="008428BA"/>
    <w:rsid w:val="008474DE"/>
    <w:rsid w:val="008476B0"/>
    <w:rsid w:val="008477D8"/>
    <w:rsid w:val="0085093B"/>
    <w:rsid w:val="0085129C"/>
    <w:rsid w:val="008525F3"/>
    <w:rsid w:val="0085282E"/>
    <w:rsid w:val="00852E09"/>
    <w:rsid w:val="008542FE"/>
    <w:rsid w:val="008545D7"/>
    <w:rsid w:val="00854E4E"/>
    <w:rsid w:val="00857143"/>
    <w:rsid w:val="00857187"/>
    <w:rsid w:val="00861F7E"/>
    <w:rsid w:val="0086289D"/>
    <w:rsid w:val="00863455"/>
    <w:rsid w:val="008634E9"/>
    <w:rsid w:val="00864482"/>
    <w:rsid w:val="00865E0F"/>
    <w:rsid w:val="0086627E"/>
    <w:rsid w:val="008711B3"/>
    <w:rsid w:val="00872E0B"/>
    <w:rsid w:val="0087316B"/>
    <w:rsid w:val="008741EA"/>
    <w:rsid w:val="00875802"/>
    <w:rsid w:val="008765CE"/>
    <w:rsid w:val="00877950"/>
    <w:rsid w:val="0088176A"/>
    <w:rsid w:val="008826F5"/>
    <w:rsid w:val="00883584"/>
    <w:rsid w:val="00883A34"/>
    <w:rsid w:val="00883EC8"/>
    <w:rsid w:val="008842A7"/>
    <w:rsid w:val="00884C87"/>
    <w:rsid w:val="008862DF"/>
    <w:rsid w:val="00891ED4"/>
    <w:rsid w:val="00893A48"/>
    <w:rsid w:val="00896E48"/>
    <w:rsid w:val="008972E0"/>
    <w:rsid w:val="0089777B"/>
    <w:rsid w:val="008A20B4"/>
    <w:rsid w:val="008A375B"/>
    <w:rsid w:val="008A4B12"/>
    <w:rsid w:val="008A60B7"/>
    <w:rsid w:val="008A68A5"/>
    <w:rsid w:val="008A6FD2"/>
    <w:rsid w:val="008B01F7"/>
    <w:rsid w:val="008B165E"/>
    <w:rsid w:val="008B38F5"/>
    <w:rsid w:val="008C0ED9"/>
    <w:rsid w:val="008C1695"/>
    <w:rsid w:val="008C443E"/>
    <w:rsid w:val="008C4AE6"/>
    <w:rsid w:val="008C4E64"/>
    <w:rsid w:val="008C4F99"/>
    <w:rsid w:val="008C5757"/>
    <w:rsid w:val="008C784F"/>
    <w:rsid w:val="008D1DA8"/>
    <w:rsid w:val="008D21A6"/>
    <w:rsid w:val="008D2566"/>
    <w:rsid w:val="008D2DD8"/>
    <w:rsid w:val="008D3382"/>
    <w:rsid w:val="008D34E0"/>
    <w:rsid w:val="008D3511"/>
    <w:rsid w:val="008D6A19"/>
    <w:rsid w:val="008D7CFB"/>
    <w:rsid w:val="008E01E2"/>
    <w:rsid w:val="008E762A"/>
    <w:rsid w:val="008F0DC2"/>
    <w:rsid w:val="008F329F"/>
    <w:rsid w:val="008F407A"/>
    <w:rsid w:val="008F49F8"/>
    <w:rsid w:val="008F5271"/>
    <w:rsid w:val="008F57D9"/>
    <w:rsid w:val="008F5BA3"/>
    <w:rsid w:val="00901D4D"/>
    <w:rsid w:val="00902538"/>
    <w:rsid w:val="00903405"/>
    <w:rsid w:val="009035E6"/>
    <w:rsid w:val="00903E37"/>
    <w:rsid w:val="00904F9E"/>
    <w:rsid w:val="00905727"/>
    <w:rsid w:val="00906CCE"/>
    <w:rsid w:val="009074BE"/>
    <w:rsid w:val="00912C57"/>
    <w:rsid w:val="00913F6B"/>
    <w:rsid w:val="00914B50"/>
    <w:rsid w:val="009161DE"/>
    <w:rsid w:val="00916FD9"/>
    <w:rsid w:val="0091745B"/>
    <w:rsid w:val="00917625"/>
    <w:rsid w:val="00917D05"/>
    <w:rsid w:val="00920548"/>
    <w:rsid w:val="009222B4"/>
    <w:rsid w:val="00923286"/>
    <w:rsid w:val="009234EC"/>
    <w:rsid w:val="00924109"/>
    <w:rsid w:val="00924F88"/>
    <w:rsid w:val="00925313"/>
    <w:rsid w:val="00925729"/>
    <w:rsid w:val="009261D6"/>
    <w:rsid w:val="00927DCC"/>
    <w:rsid w:val="0093000E"/>
    <w:rsid w:val="009318CD"/>
    <w:rsid w:val="00931F88"/>
    <w:rsid w:val="00932162"/>
    <w:rsid w:val="00936F01"/>
    <w:rsid w:val="009374A8"/>
    <w:rsid w:val="00937ACB"/>
    <w:rsid w:val="009406DA"/>
    <w:rsid w:val="00941623"/>
    <w:rsid w:val="0094447B"/>
    <w:rsid w:val="00944713"/>
    <w:rsid w:val="00944C1C"/>
    <w:rsid w:val="00944D7B"/>
    <w:rsid w:val="00944F19"/>
    <w:rsid w:val="00945B53"/>
    <w:rsid w:val="0094606F"/>
    <w:rsid w:val="0094612A"/>
    <w:rsid w:val="009469C3"/>
    <w:rsid w:val="00947A1E"/>
    <w:rsid w:val="00947DEF"/>
    <w:rsid w:val="00950A59"/>
    <w:rsid w:val="0095182E"/>
    <w:rsid w:val="00951C3B"/>
    <w:rsid w:val="00951F44"/>
    <w:rsid w:val="0095242A"/>
    <w:rsid w:val="00954A69"/>
    <w:rsid w:val="00954D44"/>
    <w:rsid w:val="00960CDA"/>
    <w:rsid w:val="00962C7A"/>
    <w:rsid w:val="00963EAB"/>
    <w:rsid w:val="00964F36"/>
    <w:rsid w:val="0097011D"/>
    <w:rsid w:val="00972D1B"/>
    <w:rsid w:val="00974038"/>
    <w:rsid w:val="00975534"/>
    <w:rsid w:val="0098038B"/>
    <w:rsid w:val="009817C8"/>
    <w:rsid w:val="00982751"/>
    <w:rsid w:val="00983ADF"/>
    <w:rsid w:val="00984C8B"/>
    <w:rsid w:val="00986604"/>
    <w:rsid w:val="00986C4E"/>
    <w:rsid w:val="00987A0C"/>
    <w:rsid w:val="00991088"/>
    <w:rsid w:val="009926B0"/>
    <w:rsid w:val="009927C0"/>
    <w:rsid w:val="00995BDE"/>
    <w:rsid w:val="009A0F3A"/>
    <w:rsid w:val="009A0FA6"/>
    <w:rsid w:val="009A100A"/>
    <w:rsid w:val="009A1B07"/>
    <w:rsid w:val="009A37DA"/>
    <w:rsid w:val="009B02CB"/>
    <w:rsid w:val="009B0CC2"/>
    <w:rsid w:val="009B1F16"/>
    <w:rsid w:val="009B2010"/>
    <w:rsid w:val="009B5F42"/>
    <w:rsid w:val="009B69F1"/>
    <w:rsid w:val="009C0ACF"/>
    <w:rsid w:val="009C2156"/>
    <w:rsid w:val="009C30F5"/>
    <w:rsid w:val="009C3535"/>
    <w:rsid w:val="009C3C1D"/>
    <w:rsid w:val="009C4159"/>
    <w:rsid w:val="009C4BC0"/>
    <w:rsid w:val="009C5A34"/>
    <w:rsid w:val="009C69E3"/>
    <w:rsid w:val="009C714A"/>
    <w:rsid w:val="009C7CE6"/>
    <w:rsid w:val="009D399F"/>
    <w:rsid w:val="009D3F79"/>
    <w:rsid w:val="009D440A"/>
    <w:rsid w:val="009D4911"/>
    <w:rsid w:val="009D4940"/>
    <w:rsid w:val="009D4ADC"/>
    <w:rsid w:val="009D4C2B"/>
    <w:rsid w:val="009D597C"/>
    <w:rsid w:val="009D5B40"/>
    <w:rsid w:val="009E035E"/>
    <w:rsid w:val="009E2FA5"/>
    <w:rsid w:val="009E3174"/>
    <w:rsid w:val="009E3951"/>
    <w:rsid w:val="009E7049"/>
    <w:rsid w:val="009F0FB1"/>
    <w:rsid w:val="009F6ACC"/>
    <w:rsid w:val="009F735A"/>
    <w:rsid w:val="009F765E"/>
    <w:rsid w:val="009F7FBF"/>
    <w:rsid w:val="00A002C1"/>
    <w:rsid w:val="00A0124C"/>
    <w:rsid w:val="00A02CF8"/>
    <w:rsid w:val="00A02DF5"/>
    <w:rsid w:val="00A12194"/>
    <w:rsid w:val="00A1330A"/>
    <w:rsid w:val="00A13BC4"/>
    <w:rsid w:val="00A1487A"/>
    <w:rsid w:val="00A16058"/>
    <w:rsid w:val="00A2095E"/>
    <w:rsid w:val="00A22284"/>
    <w:rsid w:val="00A23CF4"/>
    <w:rsid w:val="00A24D48"/>
    <w:rsid w:val="00A25D2A"/>
    <w:rsid w:val="00A26207"/>
    <w:rsid w:val="00A3000E"/>
    <w:rsid w:val="00A32299"/>
    <w:rsid w:val="00A32C71"/>
    <w:rsid w:val="00A32FB4"/>
    <w:rsid w:val="00A34CEA"/>
    <w:rsid w:val="00A35F7E"/>
    <w:rsid w:val="00A37CD2"/>
    <w:rsid w:val="00A40BD4"/>
    <w:rsid w:val="00A40F78"/>
    <w:rsid w:val="00A4190A"/>
    <w:rsid w:val="00A42BE8"/>
    <w:rsid w:val="00A43094"/>
    <w:rsid w:val="00A4352A"/>
    <w:rsid w:val="00A43E0D"/>
    <w:rsid w:val="00A44D5D"/>
    <w:rsid w:val="00A5125E"/>
    <w:rsid w:val="00A52AEE"/>
    <w:rsid w:val="00A54603"/>
    <w:rsid w:val="00A556E9"/>
    <w:rsid w:val="00A57269"/>
    <w:rsid w:val="00A575C4"/>
    <w:rsid w:val="00A575F6"/>
    <w:rsid w:val="00A60A95"/>
    <w:rsid w:val="00A613EC"/>
    <w:rsid w:val="00A61F2A"/>
    <w:rsid w:val="00A625A5"/>
    <w:rsid w:val="00A644DC"/>
    <w:rsid w:val="00A64F57"/>
    <w:rsid w:val="00A66D08"/>
    <w:rsid w:val="00A70C51"/>
    <w:rsid w:val="00A723A7"/>
    <w:rsid w:val="00A73478"/>
    <w:rsid w:val="00A73700"/>
    <w:rsid w:val="00A7634E"/>
    <w:rsid w:val="00A76AF1"/>
    <w:rsid w:val="00A77705"/>
    <w:rsid w:val="00A80FE2"/>
    <w:rsid w:val="00A824C3"/>
    <w:rsid w:val="00A832AC"/>
    <w:rsid w:val="00A84493"/>
    <w:rsid w:val="00A845E1"/>
    <w:rsid w:val="00A85AED"/>
    <w:rsid w:val="00A90C12"/>
    <w:rsid w:val="00A90FC1"/>
    <w:rsid w:val="00A91AB3"/>
    <w:rsid w:val="00A923F1"/>
    <w:rsid w:val="00A9286A"/>
    <w:rsid w:val="00A92A74"/>
    <w:rsid w:val="00A94733"/>
    <w:rsid w:val="00A954DB"/>
    <w:rsid w:val="00A96D12"/>
    <w:rsid w:val="00A97EA4"/>
    <w:rsid w:val="00AA00BA"/>
    <w:rsid w:val="00AA06A1"/>
    <w:rsid w:val="00AA3DCC"/>
    <w:rsid w:val="00AA428C"/>
    <w:rsid w:val="00AA42EF"/>
    <w:rsid w:val="00AA489E"/>
    <w:rsid w:val="00AA4A29"/>
    <w:rsid w:val="00AA690D"/>
    <w:rsid w:val="00AB07B0"/>
    <w:rsid w:val="00AB27B3"/>
    <w:rsid w:val="00AB291A"/>
    <w:rsid w:val="00AB34BA"/>
    <w:rsid w:val="00AB7016"/>
    <w:rsid w:val="00AB7E84"/>
    <w:rsid w:val="00AC04E1"/>
    <w:rsid w:val="00AC11F9"/>
    <w:rsid w:val="00AC23FC"/>
    <w:rsid w:val="00AC2682"/>
    <w:rsid w:val="00AC26A4"/>
    <w:rsid w:val="00AC4168"/>
    <w:rsid w:val="00AC4D7B"/>
    <w:rsid w:val="00AC62A8"/>
    <w:rsid w:val="00AD07BF"/>
    <w:rsid w:val="00AD1405"/>
    <w:rsid w:val="00AD2E37"/>
    <w:rsid w:val="00AD30C9"/>
    <w:rsid w:val="00AD4313"/>
    <w:rsid w:val="00AD5E70"/>
    <w:rsid w:val="00AD65FE"/>
    <w:rsid w:val="00AD6CCF"/>
    <w:rsid w:val="00AD76AB"/>
    <w:rsid w:val="00AD7E75"/>
    <w:rsid w:val="00AE0F6A"/>
    <w:rsid w:val="00AE2E47"/>
    <w:rsid w:val="00AE3513"/>
    <w:rsid w:val="00AE3C1C"/>
    <w:rsid w:val="00AE60EC"/>
    <w:rsid w:val="00AE78FA"/>
    <w:rsid w:val="00AE7AFA"/>
    <w:rsid w:val="00AF2954"/>
    <w:rsid w:val="00AF356F"/>
    <w:rsid w:val="00AF4958"/>
    <w:rsid w:val="00AF646B"/>
    <w:rsid w:val="00AF7239"/>
    <w:rsid w:val="00AF755E"/>
    <w:rsid w:val="00AF772A"/>
    <w:rsid w:val="00B010A0"/>
    <w:rsid w:val="00B01D98"/>
    <w:rsid w:val="00B02205"/>
    <w:rsid w:val="00B02AA5"/>
    <w:rsid w:val="00B02C46"/>
    <w:rsid w:val="00B03189"/>
    <w:rsid w:val="00B03596"/>
    <w:rsid w:val="00B06685"/>
    <w:rsid w:val="00B07D42"/>
    <w:rsid w:val="00B116F3"/>
    <w:rsid w:val="00B133AE"/>
    <w:rsid w:val="00B134FE"/>
    <w:rsid w:val="00B15DFE"/>
    <w:rsid w:val="00B165F5"/>
    <w:rsid w:val="00B170C6"/>
    <w:rsid w:val="00B17E99"/>
    <w:rsid w:val="00B21D77"/>
    <w:rsid w:val="00B226B1"/>
    <w:rsid w:val="00B23476"/>
    <w:rsid w:val="00B24147"/>
    <w:rsid w:val="00B24E22"/>
    <w:rsid w:val="00B30526"/>
    <w:rsid w:val="00B305E5"/>
    <w:rsid w:val="00B307EB"/>
    <w:rsid w:val="00B31278"/>
    <w:rsid w:val="00B31F3D"/>
    <w:rsid w:val="00B32C58"/>
    <w:rsid w:val="00B33444"/>
    <w:rsid w:val="00B33E53"/>
    <w:rsid w:val="00B349D2"/>
    <w:rsid w:val="00B34EB0"/>
    <w:rsid w:val="00B3576E"/>
    <w:rsid w:val="00B35C5F"/>
    <w:rsid w:val="00B3742A"/>
    <w:rsid w:val="00B40132"/>
    <w:rsid w:val="00B43A5D"/>
    <w:rsid w:val="00B44EF8"/>
    <w:rsid w:val="00B472AD"/>
    <w:rsid w:val="00B47DBE"/>
    <w:rsid w:val="00B50B2D"/>
    <w:rsid w:val="00B51B69"/>
    <w:rsid w:val="00B52A52"/>
    <w:rsid w:val="00B53F38"/>
    <w:rsid w:val="00B549E7"/>
    <w:rsid w:val="00B55130"/>
    <w:rsid w:val="00B6143A"/>
    <w:rsid w:val="00B617B5"/>
    <w:rsid w:val="00B64B20"/>
    <w:rsid w:val="00B64E63"/>
    <w:rsid w:val="00B657D4"/>
    <w:rsid w:val="00B671FF"/>
    <w:rsid w:val="00B67FE2"/>
    <w:rsid w:val="00B7197D"/>
    <w:rsid w:val="00B7235A"/>
    <w:rsid w:val="00B72726"/>
    <w:rsid w:val="00B77A17"/>
    <w:rsid w:val="00B80A40"/>
    <w:rsid w:val="00B80BB1"/>
    <w:rsid w:val="00B80F01"/>
    <w:rsid w:val="00B818C9"/>
    <w:rsid w:val="00B82D77"/>
    <w:rsid w:val="00B839D1"/>
    <w:rsid w:val="00B856A6"/>
    <w:rsid w:val="00B925C1"/>
    <w:rsid w:val="00B9282D"/>
    <w:rsid w:val="00B92B3A"/>
    <w:rsid w:val="00B9500D"/>
    <w:rsid w:val="00B9571F"/>
    <w:rsid w:val="00B9650F"/>
    <w:rsid w:val="00B965C1"/>
    <w:rsid w:val="00B9677B"/>
    <w:rsid w:val="00B96C43"/>
    <w:rsid w:val="00B9707B"/>
    <w:rsid w:val="00B97B53"/>
    <w:rsid w:val="00BA1279"/>
    <w:rsid w:val="00BA239C"/>
    <w:rsid w:val="00BA36FE"/>
    <w:rsid w:val="00BA3EA5"/>
    <w:rsid w:val="00BA43DA"/>
    <w:rsid w:val="00BA5698"/>
    <w:rsid w:val="00BA5E3D"/>
    <w:rsid w:val="00BB10D6"/>
    <w:rsid w:val="00BB5095"/>
    <w:rsid w:val="00BB764A"/>
    <w:rsid w:val="00BC043B"/>
    <w:rsid w:val="00BC057E"/>
    <w:rsid w:val="00BC0A41"/>
    <w:rsid w:val="00BC0B4D"/>
    <w:rsid w:val="00BC259A"/>
    <w:rsid w:val="00BC3376"/>
    <w:rsid w:val="00BC6BA9"/>
    <w:rsid w:val="00BD1DCC"/>
    <w:rsid w:val="00BD2DBC"/>
    <w:rsid w:val="00BD3119"/>
    <w:rsid w:val="00BD63DD"/>
    <w:rsid w:val="00BD67C6"/>
    <w:rsid w:val="00BE0270"/>
    <w:rsid w:val="00BE1F67"/>
    <w:rsid w:val="00BE2427"/>
    <w:rsid w:val="00BE2D95"/>
    <w:rsid w:val="00BE3C63"/>
    <w:rsid w:val="00BF28D4"/>
    <w:rsid w:val="00BF4FC5"/>
    <w:rsid w:val="00BF71E9"/>
    <w:rsid w:val="00BF7319"/>
    <w:rsid w:val="00BF7429"/>
    <w:rsid w:val="00BF75D5"/>
    <w:rsid w:val="00C00A8C"/>
    <w:rsid w:val="00C00C3F"/>
    <w:rsid w:val="00C0186A"/>
    <w:rsid w:val="00C05306"/>
    <w:rsid w:val="00C06066"/>
    <w:rsid w:val="00C06084"/>
    <w:rsid w:val="00C062D0"/>
    <w:rsid w:val="00C0693E"/>
    <w:rsid w:val="00C07862"/>
    <w:rsid w:val="00C07D17"/>
    <w:rsid w:val="00C1157A"/>
    <w:rsid w:val="00C127C5"/>
    <w:rsid w:val="00C12B5C"/>
    <w:rsid w:val="00C12D89"/>
    <w:rsid w:val="00C14DCD"/>
    <w:rsid w:val="00C14F3B"/>
    <w:rsid w:val="00C15068"/>
    <w:rsid w:val="00C17063"/>
    <w:rsid w:val="00C176CD"/>
    <w:rsid w:val="00C30AE9"/>
    <w:rsid w:val="00C31B07"/>
    <w:rsid w:val="00C31B81"/>
    <w:rsid w:val="00C347BB"/>
    <w:rsid w:val="00C3504A"/>
    <w:rsid w:val="00C35404"/>
    <w:rsid w:val="00C35722"/>
    <w:rsid w:val="00C35A91"/>
    <w:rsid w:val="00C3649D"/>
    <w:rsid w:val="00C364F6"/>
    <w:rsid w:val="00C36E2C"/>
    <w:rsid w:val="00C372B4"/>
    <w:rsid w:val="00C37D60"/>
    <w:rsid w:val="00C40583"/>
    <w:rsid w:val="00C4148F"/>
    <w:rsid w:val="00C4152F"/>
    <w:rsid w:val="00C41CA5"/>
    <w:rsid w:val="00C440DB"/>
    <w:rsid w:val="00C44F52"/>
    <w:rsid w:val="00C452E6"/>
    <w:rsid w:val="00C45ED7"/>
    <w:rsid w:val="00C46802"/>
    <w:rsid w:val="00C4775B"/>
    <w:rsid w:val="00C47BC8"/>
    <w:rsid w:val="00C50D94"/>
    <w:rsid w:val="00C50F1B"/>
    <w:rsid w:val="00C52B48"/>
    <w:rsid w:val="00C558C8"/>
    <w:rsid w:val="00C55B81"/>
    <w:rsid w:val="00C564F8"/>
    <w:rsid w:val="00C5659C"/>
    <w:rsid w:val="00C575E6"/>
    <w:rsid w:val="00C57E29"/>
    <w:rsid w:val="00C6018E"/>
    <w:rsid w:val="00C60B71"/>
    <w:rsid w:val="00C60FB8"/>
    <w:rsid w:val="00C61014"/>
    <w:rsid w:val="00C626DF"/>
    <w:rsid w:val="00C63B1C"/>
    <w:rsid w:val="00C64B59"/>
    <w:rsid w:val="00C71877"/>
    <w:rsid w:val="00C71FC8"/>
    <w:rsid w:val="00C73C17"/>
    <w:rsid w:val="00C73C60"/>
    <w:rsid w:val="00C74B17"/>
    <w:rsid w:val="00C75A74"/>
    <w:rsid w:val="00C75AE2"/>
    <w:rsid w:val="00C7620B"/>
    <w:rsid w:val="00C76310"/>
    <w:rsid w:val="00C81423"/>
    <w:rsid w:val="00C82DD9"/>
    <w:rsid w:val="00C83EA5"/>
    <w:rsid w:val="00C854CA"/>
    <w:rsid w:val="00C8566E"/>
    <w:rsid w:val="00C86160"/>
    <w:rsid w:val="00C87A12"/>
    <w:rsid w:val="00C90084"/>
    <w:rsid w:val="00C93764"/>
    <w:rsid w:val="00CA1B38"/>
    <w:rsid w:val="00CA2718"/>
    <w:rsid w:val="00CA3F2D"/>
    <w:rsid w:val="00CA45D8"/>
    <w:rsid w:val="00CA47B0"/>
    <w:rsid w:val="00CA6865"/>
    <w:rsid w:val="00CB08A1"/>
    <w:rsid w:val="00CB3DB4"/>
    <w:rsid w:val="00CB4880"/>
    <w:rsid w:val="00CB614B"/>
    <w:rsid w:val="00CB6A70"/>
    <w:rsid w:val="00CC6BB9"/>
    <w:rsid w:val="00CC74F0"/>
    <w:rsid w:val="00CD02F1"/>
    <w:rsid w:val="00CD1D32"/>
    <w:rsid w:val="00CD299D"/>
    <w:rsid w:val="00CD29C7"/>
    <w:rsid w:val="00CD2A10"/>
    <w:rsid w:val="00CD4355"/>
    <w:rsid w:val="00CD630C"/>
    <w:rsid w:val="00CD6AA9"/>
    <w:rsid w:val="00CD711F"/>
    <w:rsid w:val="00CE03C9"/>
    <w:rsid w:val="00CE0D07"/>
    <w:rsid w:val="00CE2DD3"/>
    <w:rsid w:val="00CE367B"/>
    <w:rsid w:val="00CE4981"/>
    <w:rsid w:val="00CE7187"/>
    <w:rsid w:val="00CF0766"/>
    <w:rsid w:val="00CF1080"/>
    <w:rsid w:val="00CF2D9F"/>
    <w:rsid w:val="00CF2EB3"/>
    <w:rsid w:val="00CF32AC"/>
    <w:rsid w:val="00CF34AA"/>
    <w:rsid w:val="00CF39BF"/>
    <w:rsid w:val="00CF45D5"/>
    <w:rsid w:val="00CF4BC2"/>
    <w:rsid w:val="00CF4BFA"/>
    <w:rsid w:val="00CF57CF"/>
    <w:rsid w:val="00CF76F4"/>
    <w:rsid w:val="00D00FA0"/>
    <w:rsid w:val="00D014F4"/>
    <w:rsid w:val="00D04E9F"/>
    <w:rsid w:val="00D062A0"/>
    <w:rsid w:val="00D1041C"/>
    <w:rsid w:val="00D10B48"/>
    <w:rsid w:val="00D13D25"/>
    <w:rsid w:val="00D14C53"/>
    <w:rsid w:val="00D1532F"/>
    <w:rsid w:val="00D1579E"/>
    <w:rsid w:val="00D16764"/>
    <w:rsid w:val="00D16C6A"/>
    <w:rsid w:val="00D17420"/>
    <w:rsid w:val="00D17D9E"/>
    <w:rsid w:val="00D20DD1"/>
    <w:rsid w:val="00D211ED"/>
    <w:rsid w:val="00D214D8"/>
    <w:rsid w:val="00D24653"/>
    <w:rsid w:val="00D272FD"/>
    <w:rsid w:val="00D2786C"/>
    <w:rsid w:val="00D30199"/>
    <w:rsid w:val="00D30725"/>
    <w:rsid w:val="00D33965"/>
    <w:rsid w:val="00D416C5"/>
    <w:rsid w:val="00D43B11"/>
    <w:rsid w:val="00D44AF3"/>
    <w:rsid w:val="00D47792"/>
    <w:rsid w:val="00D47948"/>
    <w:rsid w:val="00D51AF8"/>
    <w:rsid w:val="00D54EA4"/>
    <w:rsid w:val="00D55C6C"/>
    <w:rsid w:val="00D55C9D"/>
    <w:rsid w:val="00D56ACE"/>
    <w:rsid w:val="00D60AC0"/>
    <w:rsid w:val="00D6106F"/>
    <w:rsid w:val="00D62577"/>
    <w:rsid w:val="00D63938"/>
    <w:rsid w:val="00D669F2"/>
    <w:rsid w:val="00D67483"/>
    <w:rsid w:val="00D70150"/>
    <w:rsid w:val="00D707B3"/>
    <w:rsid w:val="00D71763"/>
    <w:rsid w:val="00D750E2"/>
    <w:rsid w:val="00D76B81"/>
    <w:rsid w:val="00D77FF8"/>
    <w:rsid w:val="00D80597"/>
    <w:rsid w:val="00D806B5"/>
    <w:rsid w:val="00D813D6"/>
    <w:rsid w:val="00D8191C"/>
    <w:rsid w:val="00D825EA"/>
    <w:rsid w:val="00D82D03"/>
    <w:rsid w:val="00D83A78"/>
    <w:rsid w:val="00D84C35"/>
    <w:rsid w:val="00D84DF1"/>
    <w:rsid w:val="00D86C76"/>
    <w:rsid w:val="00D87944"/>
    <w:rsid w:val="00D9071D"/>
    <w:rsid w:val="00D92077"/>
    <w:rsid w:val="00D924EA"/>
    <w:rsid w:val="00D93645"/>
    <w:rsid w:val="00DA173F"/>
    <w:rsid w:val="00DA28DF"/>
    <w:rsid w:val="00DA48C2"/>
    <w:rsid w:val="00DA4D31"/>
    <w:rsid w:val="00DA5068"/>
    <w:rsid w:val="00DA5E2B"/>
    <w:rsid w:val="00DB0312"/>
    <w:rsid w:val="00DB362F"/>
    <w:rsid w:val="00DB4C4D"/>
    <w:rsid w:val="00DB5898"/>
    <w:rsid w:val="00DB5B6B"/>
    <w:rsid w:val="00DB7688"/>
    <w:rsid w:val="00DC1E27"/>
    <w:rsid w:val="00DC2176"/>
    <w:rsid w:val="00DC22C9"/>
    <w:rsid w:val="00DC283F"/>
    <w:rsid w:val="00DC3CA1"/>
    <w:rsid w:val="00DC6614"/>
    <w:rsid w:val="00DD1216"/>
    <w:rsid w:val="00DD166F"/>
    <w:rsid w:val="00DD206D"/>
    <w:rsid w:val="00DD3AF7"/>
    <w:rsid w:val="00DD41CD"/>
    <w:rsid w:val="00DD4511"/>
    <w:rsid w:val="00DD5D0D"/>
    <w:rsid w:val="00DD6530"/>
    <w:rsid w:val="00DD7AF2"/>
    <w:rsid w:val="00DE02F2"/>
    <w:rsid w:val="00DE075C"/>
    <w:rsid w:val="00DE0F6C"/>
    <w:rsid w:val="00DE4654"/>
    <w:rsid w:val="00DE4FBA"/>
    <w:rsid w:val="00DE57A7"/>
    <w:rsid w:val="00DE617D"/>
    <w:rsid w:val="00DE6295"/>
    <w:rsid w:val="00DE6720"/>
    <w:rsid w:val="00DF03A8"/>
    <w:rsid w:val="00DF0409"/>
    <w:rsid w:val="00DF1951"/>
    <w:rsid w:val="00DF5DE6"/>
    <w:rsid w:val="00DF5F4D"/>
    <w:rsid w:val="00DF7A34"/>
    <w:rsid w:val="00E01436"/>
    <w:rsid w:val="00E04B5B"/>
    <w:rsid w:val="00E06272"/>
    <w:rsid w:val="00E06668"/>
    <w:rsid w:val="00E07CAE"/>
    <w:rsid w:val="00E118E4"/>
    <w:rsid w:val="00E120DC"/>
    <w:rsid w:val="00E12EA8"/>
    <w:rsid w:val="00E1407B"/>
    <w:rsid w:val="00E15106"/>
    <w:rsid w:val="00E15FB7"/>
    <w:rsid w:val="00E203DB"/>
    <w:rsid w:val="00E21213"/>
    <w:rsid w:val="00E22305"/>
    <w:rsid w:val="00E22648"/>
    <w:rsid w:val="00E22830"/>
    <w:rsid w:val="00E24B8A"/>
    <w:rsid w:val="00E24C14"/>
    <w:rsid w:val="00E24E79"/>
    <w:rsid w:val="00E26EC5"/>
    <w:rsid w:val="00E3027C"/>
    <w:rsid w:val="00E31953"/>
    <w:rsid w:val="00E3624B"/>
    <w:rsid w:val="00E375A2"/>
    <w:rsid w:val="00E40156"/>
    <w:rsid w:val="00E40D7E"/>
    <w:rsid w:val="00E40E7E"/>
    <w:rsid w:val="00E42AF4"/>
    <w:rsid w:val="00E43E9E"/>
    <w:rsid w:val="00E45506"/>
    <w:rsid w:val="00E46CFA"/>
    <w:rsid w:val="00E473C0"/>
    <w:rsid w:val="00E47C25"/>
    <w:rsid w:val="00E47EDE"/>
    <w:rsid w:val="00E50DDB"/>
    <w:rsid w:val="00E50E4B"/>
    <w:rsid w:val="00E53E4D"/>
    <w:rsid w:val="00E54056"/>
    <w:rsid w:val="00E5518E"/>
    <w:rsid w:val="00E559ED"/>
    <w:rsid w:val="00E56A3C"/>
    <w:rsid w:val="00E56B2D"/>
    <w:rsid w:val="00E57A76"/>
    <w:rsid w:val="00E62504"/>
    <w:rsid w:val="00E62AE0"/>
    <w:rsid w:val="00E63ECA"/>
    <w:rsid w:val="00E64EA5"/>
    <w:rsid w:val="00E655CC"/>
    <w:rsid w:val="00E65C4E"/>
    <w:rsid w:val="00E660B5"/>
    <w:rsid w:val="00E66598"/>
    <w:rsid w:val="00E678C8"/>
    <w:rsid w:val="00E67F76"/>
    <w:rsid w:val="00E70FF7"/>
    <w:rsid w:val="00E72246"/>
    <w:rsid w:val="00E7352D"/>
    <w:rsid w:val="00E73AA8"/>
    <w:rsid w:val="00E76F53"/>
    <w:rsid w:val="00E80E6B"/>
    <w:rsid w:val="00E821EC"/>
    <w:rsid w:val="00E82637"/>
    <w:rsid w:val="00E832DE"/>
    <w:rsid w:val="00E853DF"/>
    <w:rsid w:val="00E868D1"/>
    <w:rsid w:val="00E87594"/>
    <w:rsid w:val="00E92604"/>
    <w:rsid w:val="00E92D15"/>
    <w:rsid w:val="00E947F4"/>
    <w:rsid w:val="00E94C7C"/>
    <w:rsid w:val="00E95069"/>
    <w:rsid w:val="00E96BDF"/>
    <w:rsid w:val="00E96C48"/>
    <w:rsid w:val="00EA02F1"/>
    <w:rsid w:val="00EA12D1"/>
    <w:rsid w:val="00EA1D5F"/>
    <w:rsid w:val="00EA5A44"/>
    <w:rsid w:val="00EA7B8D"/>
    <w:rsid w:val="00EB024E"/>
    <w:rsid w:val="00EB0430"/>
    <w:rsid w:val="00EB1324"/>
    <w:rsid w:val="00EB218E"/>
    <w:rsid w:val="00EB2CC8"/>
    <w:rsid w:val="00EB3110"/>
    <w:rsid w:val="00EC0051"/>
    <w:rsid w:val="00EC1EA4"/>
    <w:rsid w:val="00EC5409"/>
    <w:rsid w:val="00EC5698"/>
    <w:rsid w:val="00EC5A02"/>
    <w:rsid w:val="00EC7F5D"/>
    <w:rsid w:val="00ED1909"/>
    <w:rsid w:val="00ED21B7"/>
    <w:rsid w:val="00ED3749"/>
    <w:rsid w:val="00ED37DE"/>
    <w:rsid w:val="00ED37FF"/>
    <w:rsid w:val="00ED48F8"/>
    <w:rsid w:val="00ED5572"/>
    <w:rsid w:val="00ED5EEF"/>
    <w:rsid w:val="00ED7A19"/>
    <w:rsid w:val="00EE06DD"/>
    <w:rsid w:val="00EE1B29"/>
    <w:rsid w:val="00EE5AB6"/>
    <w:rsid w:val="00EE611D"/>
    <w:rsid w:val="00EE7899"/>
    <w:rsid w:val="00EF380B"/>
    <w:rsid w:val="00EF3986"/>
    <w:rsid w:val="00EF3B78"/>
    <w:rsid w:val="00EF7C8C"/>
    <w:rsid w:val="00EF7CDD"/>
    <w:rsid w:val="00F00316"/>
    <w:rsid w:val="00F00F52"/>
    <w:rsid w:val="00F02302"/>
    <w:rsid w:val="00F029A7"/>
    <w:rsid w:val="00F02EB5"/>
    <w:rsid w:val="00F02F81"/>
    <w:rsid w:val="00F052CD"/>
    <w:rsid w:val="00F061AB"/>
    <w:rsid w:val="00F07F8B"/>
    <w:rsid w:val="00F112DD"/>
    <w:rsid w:val="00F12110"/>
    <w:rsid w:val="00F130DD"/>
    <w:rsid w:val="00F13739"/>
    <w:rsid w:val="00F17E2E"/>
    <w:rsid w:val="00F20261"/>
    <w:rsid w:val="00F203C1"/>
    <w:rsid w:val="00F2066B"/>
    <w:rsid w:val="00F2133E"/>
    <w:rsid w:val="00F21B94"/>
    <w:rsid w:val="00F2365B"/>
    <w:rsid w:val="00F23C80"/>
    <w:rsid w:val="00F23E5C"/>
    <w:rsid w:val="00F25962"/>
    <w:rsid w:val="00F25FB4"/>
    <w:rsid w:val="00F275D9"/>
    <w:rsid w:val="00F3057D"/>
    <w:rsid w:val="00F3345A"/>
    <w:rsid w:val="00F33A3F"/>
    <w:rsid w:val="00F35AC1"/>
    <w:rsid w:val="00F35D5C"/>
    <w:rsid w:val="00F374DA"/>
    <w:rsid w:val="00F503A0"/>
    <w:rsid w:val="00F50FDD"/>
    <w:rsid w:val="00F52A7A"/>
    <w:rsid w:val="00F53335"/>
    <w:rsid w:val="00F54286"/>
    <w:rsid w:val="00F545F4"/>
    <w:rsid w:val="00F55380"/>
    <w:rsid w:val="00F56592"/>
    <w:rsid w:val="00F61377"/>
    <w:rsid w:val="00F620A2"/>
    <w:rsid w:val="00F62719"/>
    <w:rsid w:val="00F64083"/>
    <w:rsid w:val="00F6474E"/>
    <w:rsid w:val="00F70D48"/>
    <w:rsid w:val="00F71556"/>
    <w:rsid w:val="00F71706"/>
    <w:rsid w:val="00F71AF3"/>
    <w:rsid w:val="00F72078"/>
    <w:rsid w:val="00F722B0"/>
    <w:rsid w:val="00F732D6"/>
    <w:rsid w:val="00F739D3"/>
    <w:rsid w:val="00F742B8"/>
    <w:rsid w:val="00F747C1"/>
    <w:rsid w:val="00F74E15"/>
    <w:rsid w:val="00F8087E"/>
    <w:rsid w:val="00F80B3B"/>
    <w:rsid w:val="00F817D7"/>
    <w:rsid w:val="00F8456C"/>
    <w:rsid w:val="00F84A94"/>
    <w:rsid w:val="00F84C1B"/>
    <w:rsid w:val="00F84F42"/>
    <w:rsid w:val="00F8598A"/>
    <w:rsid w:val="00F87547"/>
    <w:rsid w:val="00F9017E"/>
    <w:rsid w:val="00F91136"/>
    <w:rsid w:val="00F91F83"/>
    <w:rsid w:val="00F927B5"/>
    <w:rsid w:val="00F937F5"/>
    <w:rsid w:val="00F93A40"/>
    <w:rsid w:val="00F943A9"/>
    <w:rsid w:val="00F94F3D"/>
    <w:rsid w:val="00F9691C"/>
    <w:rsid w:val="00F96F85"/>
    <w:rsid w:val="00F97235"/>
    <w:rsid w:val="00FA3EBA"/>
    <w:rsid w:val="00FA4CAB"/>
    <w:rsid w:val="00FB07EC"/>
    <w:rsid w:val="00FB0F2B"/>
    <w:rsid w:val="00FB2346"/>
    <w:rsid w:val="00FB37DF"/>
    <w:rsid w:val="00FB3F06"/>
    <w:rsid w:val="00FB3F20"/>
    <w:rsid w:val="00FB7C38"/>
    <w:rsid w:val="00FC0BA0"/>
    <w:rsid w:val="00FC2FC7"/>
    <w:rsid w:val="00FC30CD"/>
    <w:rsid w:val="00FC3772"/>
    <w:rsid w:val="00FC3E3E"/>
    <w:rsid w:val="00FC5C00"/>
    <w:rsid w:val="00FC763E"/>
    <w:rsid w:val="00FD0142"/>
    <w:rsid w:val="00FD0490"/>
    <w:rsid w:val="00FD28F6"/>
    <w:rsid w:val="00FD3977"/>
    <w:rsid w:val="00FD48D2"/>
    <w:rsid w:val="00FE0447"/>
    <w:rsid w:val="00FE0601"/>
    <w:rsid w:val="00FE302F"/>
    <w:rsid w:val="00FE3C0E"/>
    <w:rsid w:val="00FE448B"/>
    <w:rsid w:val="00FE46C0"/>
    <w:rsid w:val="00FE4B7F"/>
    <w:rsid w:val="00FE6E89"/>
    <w:rsid w:val="00FE7382"/>
    <w:rsid w:val="00FF0040"/>
    <w:rsid w:val="00FF1406"/>
    <w:rsid w:val="00FF1D23"/>
    <w:rsid w:val="00FF6C01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42E9C"/>
  <w15:chartTrackingRefBased/>
  <w15:docId w15:val="{9C7146B3-0AB0-48CC-8273-2FF862A5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349C4"/>
    <w:pPr>
      <w:spacing w:before="60"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rsid w:val="009074BE"/>
    <w:pPr>
      <w:keepNext/>
      <w:outlineLvl w:val="0"/>
    </w:pPr>
    <w:rPr>
      <w:rFonts w:cs="Arial"/>
      <w:b/>
      <w:bCs/>
      <w:sz w:val="40"/>
      <w:szCs w:val="20"/>
      <w:lang w:eastAsia="en-US"/>
    </w:rPr>
  </w:style>
  <w:style w:type="paragraph" w:styleId="Heading2">
    <w:name w:val="heading 2"/>
    <w:aliases w:val="Heading"/>
    <w:basedOn w:val="Normal"/>
    <w:next w:val="Normal"/>
    <w:qFormat/>
    <w:rsid w:val="005349C4"/>
    <w:pPr>
      <w:keepNext/>
      <w:outlineLvl w:val="1"/>
    </w:pPr>
    <w:rPr>
      <w:rFonts w:cs="Arial"/>
      <w:b/>
      <w:bCs/>
      <w:szCs w:val="20"/>
      <w:lang w:eastAsia="en-US"/>
    </w:rPr>
  </w:style>
  <w:style w:type="paragraph" w:styleId="Heading3">
    <w:name w:val="heading 3"/>
    <w:aliases w:val="Sub-Heading"/>
    <w:basedOn w:val="Normal"/>
    <w:next w:val="Normal"/>
    <w:qFormat/>
    <w:rsid w:val="00392FFD"/>
    <w:pPr>
      <w:keepNext/>
      <w:outlineLvl w:val="2"/>
    </w:pPr>
    <w:rPr>
      <w:rFonts w:cs="Arial"/>
      <w:bCs/>
      <w:szCs w:val="20"/>
      <w:u w:val="single"/>
      <w:lang w:eastAsia="en-US"/>
    </w:rPr>
  </w:style>
  <w:style w:type="paragraph" w:styleId="Heading4">
    <w:name w:val="heading 4"/>
    <w:basedOn w:val="Normal"/>
    <w:next w:val="Normal"/>
    <w:rsid w:val="009074BE"/>
    <w:pPr>
      <w:keepNext/>
      <w:outlineLvl w:val="3"/>
    </w:pPr>
    <w:rPr>
      <w:rFonts w:cs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6B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6B8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7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84DF1"/>
    <w:rPr>
      <w:b/>
      <w:szCs w:val="20"/>
      <w:lang w:eastAsia="en-US"/>
    </w:rPr>
  </w:style>
  <w:style w:type="character" w:styleId="Hyperlink">
    <w:name w:val="Hyperlink"/>
    <w:uiPriority w:val="99"/>
    <w:rsid w:val="00D84DF1"/>
    <w:rPr>
      <w:color w:val="0000FF"/>
      <w:u w:val="single"/>
    </w:rPr>
  </w:style>
  <w:style w:type="paragraph" w:styleId="DocumentMap">
    <w:name w:val="Document Map"/>
    <w:basedOn w:val="Normal"/>
    <w:semiHidden/>
    <w:rsid w:val="00914B5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mpanyName">
    <w:name w:val="Company Name"/>
    <w:basedOn w:val="Normal"/>
    <w:rsid w:val="009074BE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  <w:lang w:val="en-US" w:eastAsia="en-US"/>
    </w:rPr>
  </w:style>
  <w:style w:type="paragraph" w:styleId="BalloonText">
    <w:name w:val="Balloon Text"/>
    <w:basedOn w:val="Normal"/>
    <w:semiHidden/>
    <w:rsid w:val="00E4015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27218"/>
    <w:rPr>
      <w:sz w:val="16"/>
      <w:szCs w:val="16"/>
    </w:rPr>
  </w:style>
  <w:style w:type="paragraph" w:styleId="CommentText">
    <w:name w:val="annotation text"/>
    <w:basedOn w:val="Normal"/>
    <w:semiHidden/>
    <w:rsid w:val="004272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7218"/>
    <w:rPr>
      <w:b/>
      <w:bCs/>
    </w:rPr>
  </w:style>
  <w:style w:type="paragraph" w:styleId="BodyTextIndent">
    <w:name w:val="Body Text Indent"/>
    <w:basedOn w:val="Normal"/>
    <w:link w:val="BodyTextIndentChar"/>
    <w:rsid w:val="006A7FEB"/>
    <w:pPr>
      <w:spacing w:after="120"/>
      <w:ind w:left="283"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B52A52"/>
    <w:pPr>
      <w:ind w:left="720"/>
    </w:pPr>
  </w:style>
  <w:style w:type="character" w:customStyle="1" w:styleId="BodyTextIndentChar">
    <w:name w:val="Body Text Indent Char"/>
    <w:link w:val="BodyTextIndent"/>
    <w:rsid w:val="006F5B1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72726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17625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7F60AB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F60AB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F60AB"/>
  </w:style>
  <w:style w:type="paragraph" w:styleId="TOC3">
    <w:name w:val="toc 3"/>
    <w:basedOn w:val="Normal"/>
    <w:next w:val="Normal"/>
    <w:autoRedefine/>
    <w:uiPriority w:val="39"/>
    <w:unhideWhenUsed/>
    <w:rsid w:val="007F60AB"/>
    <w:pPr>
      <w:ind w:left="480"/>
    </w:pPr>
  </w:style>
  <w:style w:type="paragraph" w:styleId="Title">
    <w:name w:val="Title"/>
    <w:basedOn w:val="Normal"/>
    <w:next w:val="Normal"/>
    <w:link w:val="TitleChar"/>
    <w:uiPriority w:val="10"/>
    <w:rsid w:val="005349C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02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6484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54A6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54A69"/>
    <w:rPr>
      <w:i/>
      <w:iCs/>
    </w:rPr>
  </w:style>
  <w:style w:type="character" w:styleId="Strong">
    <w:name w:val="Strong"/>
    <w:basedOn w:val="DefaultParagraphFont"/>
    <w:uiPriority w:val="22"/>
    <w:qFormat/>
    <w:rsid w:val="008474DE"/>
    <w:rPr>
      <w:b/>
      <w:bCs/>
    </w:rPr>
  </w:style>
  <w:style w:type="paragraph" w:customStyle="1" w:styleId="xxmsonormal">
    <w:name w:val="x_x_msonormal"/>
    <w:basedOn w:val="Normal"/>
    <w:rsid w:val="00C55B81"/>
    <w:pPr>
      <w:spacing w:before="0" w:after="0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ci.health.nsw.gov.au/resources/respiratory/pleural-drains/pleural-drains-in-adul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i.health.nsw.gov.au/resources/respiratory/pleural-drains/pleural-drains-in-adult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C841-791C-4BFD-A290-76530600ED9C}"/>
      </w:docPartPr>
      <w:docPartBody>
        <w:p w:rsidR="00B80778" w:rsidRDefault="002B46DB">
          <w:r w:rsidRPr="007149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DB"/>
    <w:rsid w:val="002B46DB"/>
    <w:rsid w:val="00A43ACF"/>
    <w:rsid w:val="00B80778"/>
    <w:rsid w:val="00BB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46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05EA-7815-470B-8209-6D7595FA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1405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SESAHS</Company>
  <LinksUpToDate>false</LinksUpToDate>
  <CharactersWithSpaces>9909</CharactersWithSpaces>
  <SharedDoc>false</SharedDoc>
  <HLinks>
    <vt:vector size="48" baseType="variant">
      <vt:variant>
        <vt:i4>3539018</vt:i4>
      </vt:variant>
      <vt:variant>
        <vt:i4>21</vt:i4>
      </vt:variant>
      <vt:variant>
        <vt:i4>0</vt:i4>
      </vt:variant>
      <vt:variant>
        <vt:i4>5</vt:i4>
      </vt:variant>
      <vt:variant>
        <vt:lpwstr>http://www1.health.nsw.gov.au/pds/Pages/doc.aspx?dn=PD2017_034</vt:lpwstr>
      </vt:variant>
      <vt:variant>
        <vt:lpwstr/>
      </vt:variant>
      <vt:variant>
        <vt:i4>262152</vt:i4>
      </vt:variant>
      <vt:variant>
        <vt:i4>18</vt:i4>
      </vt:variant>
      <vt:variant>
        <vt:i4>0</vt:i4>
      </vt:variant>
      <vt:variant>
        <vt:i4>5</vt:i4>
      </vt:variant>
      <vt:variant>
        <vt:lpwstr>https://www.seslhd.health.nsw.gov.au/policies-and-publications/a-z/f</vt:lpwstr>
      </vt:variant>
      <vt:variant>
        <vt:lpwstr/>
      </vt:variant>
      <vt:variant>
        <vt:i4>5374057</vt:i4>
      </vt:variant>
      <vt:variant>
        <vt:i4>15</vt:i4>
      </vt:variant>
      <vt:variant>
        <vt:i4>0</vt:i4>
      </vt:variant>
      <vt:variant>
        <vt:i4>5</vt:i4>
      </vt:variant>
      <vt:variant>
        <vt:lpwstr>https://www1.health.nsw.gov.au/pds/Pages/doc.aspx?dn=PD2017_034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http://seslhdweb.seslhd.health.nsw.gov.au/SGSHHS/Business_Rules/default.asp</vt:lpwstr>
      </vt:variant>
      <vt:variant>
        <vt:lpwstr>C</vt:lpwstr>
      </vt:variant>
      <vt:variant>
        <vt:i4>1900620</vt:i4>
      </vt:variant>
      <vt:variant>
        <vt:i4>9</vt:i4>
      </vt:variant>
      <vt:variant>
        <vt:i4>0</vt:i4>
      </vt:variant>
      <vt:variant>
        <vt:i4>5</vt:i4>
      </vt:variant>
      <vt:variant>
        <vt:lpwstr>https://www.safetyandquality.gov.au/standards/nsqhs-standards</vt:lpwstr>
      </vt:variant>
      <vt:variant>
        <vt:lpwstr/>
      </vt:variant>
      <vt:variant>
        <vt:i4>2359382</vt:i4>
      </vt:variant>
      <vt:variant>
        <vt:i4>6</vt:i4>
      </vt:variant>
      <vt:variant>
        <vt:i4>0</vt:i4>
      </vt:variant>
      <vt:variant>
        <vt:i4>5</vt:i4>
      </vt:variant>
      <vt:variant>
        <vt:lpwstr>http://internal.health.nsw.gov.au/cgrm/rmra/risk_management/1_risk_matrix.pdf</vt:lpwstr>
      </vt:variant>
      <vt:variant>
        <vt:lpwstr/>
      </vt:variant>
      <vt:variant>
        <vt:i4>5701718</vt:i4>
      </vt:variant>
      <vt:variant>
        <vt:i4>3</vt:i4>
      </vt:variant>
      <vt:variant>
        <vt:i4>0</vt:i4>
      </vt:variant>
      <vt:variant>
        <vt:i4>5</vt:i4>
      </vt:variant>
      <vt:variant>
        <vt:lpwstr>http://seslhnweb/SGSHHS/Business_Rules/Clinical_Business_Rules_Template/default.asp</vt:lpwstr>
      </vt:variant>
      <vt:variant>
        <vt:lpwstr/>
      </vt:variant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http://seslhnweb/SGSHHS/Business_Rules/Clinical_Business_Rules_Template/default.asp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sesahs</dc:creator>
  <cp:keywords/>
  <cp:lastModifiedBy>Todd Steggles (South Eastern Sydney LHD)</cp:lastModifiedBy>
  <cp:revision>4</cp:revision>
  <cp:lastPrinted>2013-09-02T04:26:00Z</cp:lastPrinted>
  <dcterms:created xsi:type="dcterms:W3CDTF">2023-02-16T04:09:00Z</dcterms:created>
  <dcterms:modified xsi:type="dcterms:W3CDTF">2023-02-16T04:41:00Z</dcterms:modified>
</cp:coreProperties>
</file>